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90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214F7B" w:rsidTr="00214F7B">
        <w:trPr>
          <w:jc w:val="center"/>
        </w:trPr>
        <w:tc>
          <w:tcPr>
            <w:tcW w:w="9036" w:type="dxa"/>
            <w:hideMark/>
          </w:tcPr>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214F7B">
              <w:trPr>
                <w:jc w:val="center"/>
              </w:trPr>
              <w:tc>
                <w:tcPr>
                  <w:tcW w:w="3249" w:type="dxa"/>
                </w:tcPr>
                <w:p w:rsidR="00214F7B" w:rsidRDefault="00214F7B">
                  <w:pPr>
                    <w:suppressLineNumbers/>
                    <w:jc w:val="right"/>
                    <w:rPr>
                      <w:rFonts w:ascii="David" w:hAnsi="David"/>
                      <w:b/>
                      <w:bCs/>
                      <w:noProof w:val="0"/>
                      <w:sz w:val="26"/>
                      <w:szCs w:val="26"/>
                      <w:rtl/>
                    </w:rPr>
                  </w:pPr>
                  <w:bookmarkStart w:id="0" w:name="_GoBack"/>
                  <w:bookmarkEnd w:id="0"/>
                </w:p>
                <w:p w:rsidR="00214F7B" w:rsidRDefault="00214F7B">
                  <w:pPr>
                    <w:suppressLineNumbers/>
                    <w:rPr>
                      <w:rFonts w:ascii="David" w:hAnsi="David"/>
                      <w:b/>
                      <w:bCs/>
                      <w:noProof w:val="0"/>
                      <w:sz w:val="26"/>
                      <w:szCs w:val="26"/>
                    </w:rPr>
                  </w:pPr>
                  <w:r>
                    <w:rPr>
                      <w:rFonts w:ascii="David" w:hAnsi="David"/>
                      <w:b/>
                      <w:bCs/>
                      <w:noProof w:val="0"/>
                      <w:sz w:val="26"/>
                      <w:szCs w:val="26"/>
                      <w:rtl/>
                    </w:rPr>
                    <w:t>בעניין:</w:t>
                  </w:r>
                </w:p>
                <w:p w:rsidR="00214F7B" w:rsidRDefault="00214F7B">
                  <w:pPr>
                    <w:suppressLineNumbers/>
                    <w:jc w:val="right"/>
                    <w:rPr>
                      <w:rFonts w:ascii="David" w:hAnsi="David"/>
                      <w:b/>
                      <w:bCs/>
                      <w:noProof w:val="0"/>
                      <w:sz w:val="26"/>
                      <w:szCs w:val="26"/>
                    </w:rPr>
                  </w:pPr>
                </w:p>
                <w:p w:rsidR="00214F7B" w:rsidRDefault="00214F7B">
                  <w:pPr>
                    <w:suppressLineNumbers/>
                    <w:rPr>
                      <w:rFonts w:ascii="David" w:hAnsi="David"/>
                      <w:b/>
                      <w:bCs/>
                      <w:noProof w:val="0"/>
                      <w:sz w:val="26"/>
                      <w:szCs w:val="26"/>
                    </w:rPr>
                  </w:pPr>
                  <w:r>
                    <w:rPr>
                      <w:rFonts w:ascii="David" w:hAnsi="David"/>
                      <w:b/>
                      <w:bCs/>
                      <w:noProof w:val="0"/>
                      <w:sz w:val="26"/>
                      <w:szCs w:val="26"/>
                      <w:rtl/>
                    </w:rPr>
                    <w:t>ובעניין:</w:t>
                  </w:r>
                </w:p>
                <w:p w:rsidR="00214F7B" w:rsidRDefault="00214F7B">
                  <w:pPr>
                    <w:suppressLineNumbers/>
                    <w:jc w:val="right"/>
                    <w:rPr>
                      <w:rFonts w:ascii="David" w:hAnsi="David"/>
                      <w:b/>
                      <w:bCs/>
                      <w:noProof w:val="0"/>
                      <w:sz w:val="26"/>
                      <w:szCs w:val="26"/>
                      <w:rtl/>
                    </w:rPr>
                  </w:pPr>
                </w:p>
                <w:p w:rsidR="00214F7B" w:rsidRDefault="00214F7B">
                  <w:pPr>
                    <w:suppressLineNumbers/>
                    <w:jc w:val="right"/>
                    <w:rPr>
                      <w:rFonts w:ascii="David" w:hAnsi="David"/>
                      <w:b/>
                      <w:bCs/>
                      <w:noProof w:val="0"/>
                      <w:sz w:val="26"/>
                      <w:szCs w:val="26"/>
                      <w:rtl/>
                    </w:rPr>
                  </w:pPr>
                </w:p>
                <w:p w:rsidR="003456D4" w:rsidRDefault="003456D4">
                  <w:pPr>
                    <w:suppressLineNumbers/>
                    <w:rPr>
                      <w:rFonts w:ascii="David" w:hAnsi="David"/>
                      <w:b/>
                      <w:bCs/>
                      <w:noProof w:val="0"/>
                      <w:sz w:val="26"/>
                      <w:szCs w:val="26"/>
                      <w:rtl/>
                    </w:rPr>
                  </w:pPr>
                </w:p>
                <w:p w:rsidR="00214F7B" w:rsidRDefault="00214F7B">
                  <w:pPr>
                    <w:suppressLineNumbers/>
                    <w:rPr>
                      <w:rFonts w:ascii="David" w:hAnsi="David"/>
                      <w:b/>
                      <w:bCs/>
                      <w:noProof w:val="0"/>
                      <w:sz w:val="26"/>
                      <w:szCs w:val="26"/>
                      <w:rtl/>
                    </w:rPr>
                  </w:pPr>
                  <w:r>
                    <w:rPr>
                      <w:rFonts w:ascii="David" w:hAnsi="David"/>
                      <w:b/>
                      <w:bCs/>
                      <w:noProof w:val="0"/>
                      <w:sz w:val="26"/>
                      <w:szCs w:val="26"/>
                      <w:rtl/>
                    </w:rPr>
                    <w:t xml:space="preserve">ובעניין: </w:t>
                  </w:r>
                </w:p>
                <w:p w:rsidR="00214F7B" w:rsidRDefault="00214F7B">
                  <w:pPr>
                    <w:suppressLineNumbers/>
                    <w:jc w:val="right"/>
                    <w:rPr>
                      <w:rFonts w:ascii="David" w:hAnsi="David"/>
                      <w:b/>
                      <w:bCs/>
                      <w:noProof w:val="0"/>
                      <w:sz w:val="26"/>
                      <w:szCs w:val="26"/>
                      <w:rtl/>
                    </w:rPr>
                  </w:pPr>
                </w:p>
                <w:p w:rsidR="003456D4" w:rsidRDefault="003456D4">
                  <w:pPr>
                    <w:suppressLineNumbers/>
                    <w:rPr>
                      <w:rFonts w:ascii="David" w:hAnsi="David"/>
                      <w:b/>
                      <w:bCs/>
                      <w:noProof w:val="0"/>
                      <w:sz w:val="26"/>
                      <w:szCs w:val="26"/>
                      <w:rtl/>
                    </w:rPr>
                  </w:pPr>
                </w:p>
                <w:p w:rsidR="00214F7B" w:rsidRDefault="00214F7B">
                  <w:pPr>
                    <w:suppressLineNumbers/>
                    <w:rPr>
                      <w:rFonts w:ascii="David" w:hAnsi="David"/>
                      <w:b/>
                      <w:bCs/>
                      <w:noProof w:val="0"/>
                      <w:sz w:val="26"/>
                      <w:szCs w:val="26"/>
                      <w:rtl/>
                    </w:rPr>
                  </w:pPr>
                  <w:r>
                    <w:rPr>
                      <w:rFonts w:ascii="David" w:hAnsi="David"/>
                      <w:b/>
                      <w:bCs/>
                      <w:noProof w:val="0"/>
                      <w:sz w:val="26"/>
                      <w:szCs w:val="26"/>
                      <w:rtl/>
                    </w:rPr>
                    <w:t>ובעניין:</w:t>
                  </w:r>
                </w:p>
                <w:p w:rsidR="00214F7B" w:rsidRDefault="00214F7B">
                  <w:pPr>
                    <w:suppressLineNumbers/>
                    <w:jc w:val="right"/>
                    <w:rPr>
                      <w:rFonts w:ascii="David" w:hAnsi="David"/>
                      <w:b/>
                      <w:bCs/>
                      <w:noProof w:val="0"/>
                      <w:sz w:val="26"/>
                      <w:szCs w:val="26"/>
                      <w:rtl/>
                    </w:rPr>
                  </w:pPr>
                </w:p>
                <w:p w:rsidR="00214F7B" w:rsidRDefault="00214F7B">
                  <w:pPr>
                    <w:suppressLineNumbers/>
                    <w:jc w:val="right"/>
                    <w:rPr>
                      <w:rFonts w:ascii="David" w:hAnsi="David"/>
                      <w:b/>
                      <w:bCs/>
                      <w:noProof w:val="0"/>
                      <w:sz w:val="26"/>
                      <w:szCs w:val="26"/>
                      <w:rtl/>
                    </w:rPr>
                  </w:pPr>
                </w:p>
                <w:p w:rsidR="00214F7B" w:rsidRDefault="00214F7B">
                  <w:pPr>
                    <w:suppressLineNumbers/>
                    <w:rPr>
                      <w:rFonts w:ascii="David" w:hAnsi="David"/>
                      <w:b/>
                      <w:bCs/>
                      <w:noProof w:val="0"/>
                      <w:sz w:val="26"/>
                      <w:szCs w:val="26"/>
                      <w:rtl/>
                    </w:rPr>
                  </w:pPr>
                </w:p>
              </w:tc>
              <w:tc>
                <w:tcPr>
                  <w:tcW w:w="5571" w:type="dxa"/>
                </w:tcPr>
                <w:p w:rsidR="00214F7B" w:rsidRDefault="00214F7B">
                  <w:pPr>
                    <w:suppressLineNumbers/>
                    <w:jc w:val="right"/>
                    <w:rPr>
                      <w:rFonts w:ascii="David" w:hAnsi="David"/>
                      <w:b/>
                      <w:bCs/>
                      <w:noProof w:val="0"/>
                      <w:sz w:val="26"/>
                      <w:szCs w:val="26"/>
                      <w:rtl/>
                    </w:rPr>
                  </w:pPr>
                </w:p>
                <w:p w:rsidR="00214F7B" w:rsidRDefault="00214F7B">
                  <w:pPr>
                    <w:suppressLineNumbers/>
                    <w:rPr>
                      <w:rFonts w:ascii="David" w:hAnsi="David"/>
                      <w:b/>
                      <w:bCs/>
                      <w:noProof w:val="0"/>
                      <w:sz w:val="26"/>
                      <w:szCs w:val="26"/>
                      <w:rtl/>
                    </w:rPr>
                  </w:pPr>
                  <w:r>
                    <w:rPr>
                      <w:rFonts w:ascii="David" w:hAnsi="David"/>
                      <w:b/>
                      <w:bCs/>
                      <w:noProof w:val="0"/>
                      <w:sz w:val="26"/>
                      <w:szCs w:val="26"/>
                      <w:rtl/>
                    </w:rPr>
                    <w:t>פקודת פשיטת הרגל [נוסח חדש], תש"ם-1980</w:t>
                  </w:r>
                </w:p>
                <w:p w:rsidR="00214F7B" w:rsidRDefault="00214F7B">
                  <w:pPr>
                    <w:suppressLineNumbers/>
                    <w:jc w:val="right"/>
                    <w:rPr>
                      <w:rFonts w:ascii="David" w:hAnsi="David"/>
                      <w:b/>
                      <w:bCs/>
                      <w:noProof w:val="0"/>
                      <w:sz w:val="26"/>
                      <w:szCs w:val="26"/>
                      <w:rtl/>
                    </w:rPr>
                  </w:pPr>
                </w:p>
                <w:p w:rsidR="00214F7B" w:rsidRDefault="00214F7B">
                  <w:pPr>
                    <w:suppressLineNumbers/>
                    <w:rPr>
                      <w:rFonts w:ascii="David" w:hAnsi="David"/>
                      <w:b/>
                      <w:bCs/>
                      <w:noProof w:val="0"/>
                      <w:sz w:val="26"/>
                      <w:szCs w:val="26"/>
                      <w:rtl/>
                    </w:rPr>
                  </w:pPr>
                  <w:r>
                    <w:rPr>
                      <w:rFonts w:ascii="David" w:hAnsi="David"/>
                      <w:b/>
                      <w:bCs/>
                      <w:noProof w:val="0"/>
                      <w:sz w:val="26"/>
                      <w:szCs w:val="26"/>
                      <w:rtl/>
                    </w:rPr>
                    <w:t xml:space="preserve">בועז יונה (בפשיטת רגל)         </w:t>
                  </w:r>
                </w:p>
                <w:p w:rsidR="00214F7B" w:rsidRDefault="00214F7B">
                  <w:pPr>
                    <w:suppressLineNumbers/>
                    <w:rPr>
                      <w:rFonts w:ascii="David" w:hAnsi="David"/>
                      <w:b/>
                      <w:bCs/>
                      <w:noProof w:val="0"/>
                      <w:sz w:val="26"/>
                      <w:szCs w:val="26"/>
                      <w:rtl/>
                    </w:rPr>
                  </w:pPr>
                  <w:r>
                    <w:rPr>
                      <w:rFonts w:ascii="David" w:hAnsi="David"/>
                      <w:b/>
                      <w:bCs/>
                      <w:noProof w:val="0"/>
                      <w:sz w:val="26"/>
                      <w:szCs w:val="26"/>
                      <w:rtl/>
                    </w:rPr>
                    <w:t xml:space="preserve">ע"י ב"כ עו"ד רון סמוראי                          </w:t>
                  </w:r>
                </w:p>
                <w:p w:rsidR="00214F7B" w:rsidRDefault="00214F7B">
                  <w:pPr>
                    <w:suppressLineNumbers/>
                    <w:jc w:val="right"/>
                    <w:rPr>
                      <w:rFonts w:ascii="David" w:hAnsi="David"/>
                      <w:b/>
                      <w:bCs/>
                      <w:noProof w:val="0"/>
                      <w:sz w:val="26"/>
                      <w:szCs w:val="26"/>
                      <w:rtl/>
                    </w:rPr>
                  </w:pPr>
                </w:p>
                <w:p w:rsidR="00214F7B" w:rsidRDefault="00214F7B">
                  <w:pPr>
                    <w:suppressLineNumbers/>
                    <w:jc w:val="right"/>
                    <w:rPr>
                      <w:rFonts w:ascii="David" w:hAnsi="David"/>
                      <w:b/>
                      <w:bCs/>
                      <w:noProof w:val="0"/>
                      <w:sz w:val="26"/>
                      <w:szCs w:val="26"/>
                      <w:rtl/>
                    </w:rPr>
                  </w:pPr>
                </w:p>
                <w:p w:rsidR="00214F7B" w:rsidRDefault="00214F7B">
                  <w:pPr>
                    <w:suppressLineNumbers/>
                    <w:rPr>
                      <w:rFonts w:ascii="David" w:hAnsi="David"/>
                      <w:b/>
                      <w:bCs/>
                      <w:noProof w:val="0"/>
                      <w:sz w:val="26"/>
                      <w:szCs w:val="26"/>
                      <w:rtl/>
                    </w:rPr>
                  </w:pPr>
                  <w:r>
                    <w:rPr>
                      <w:rFonts w:ascii="David" w:hAnsi="David"/>
                      <w:b/>
                      <w:bCs/>
                      <w:noProof w:val="0"/>
                      <w:sz w:val="26"/>
                      <w:szCs w:val="26"/>
                      <w:rtl/>
                    </w:rPr>
                    <w:t>הליכי פירוק של 26 חברות מקבוצת חפציבה</w:t>
                  </w:r>
                </w:p>
                <w:p w:rsidR="00214F7B" w:rsidRDefault="00214F7B">
                  <w:pPr>
                    <w:suppressLineNumbers/>
                    <w:jc w:val="right"/>
                    <w:rPr>
                      <w:rFonts w:ascii="David" w:hAnsi="David"/>
                      <w:b/>
                      <w:bCs/>
                      <w:noProof w:val="0"/>
                      <w:sz w:val="26"/>
                      <w:szCs w:val="26"/>
                      <w:rtl/>
                    </w:rPr>
                  </w:pPr>
                </w:p>
                <w:p w:rsidR="00214F7B" w:rsidRDefault="00214F7B">
                  <w:pPr>
                    <w:suppressLineNumbers/>
                    <w:jc w:val="right"/>
                    <w:rPr>
                      <w:rFonts w:ascii="David" w:hAnsi="David"/>
                      <w:b/>
                      <w:bCs/>
                      <w:noProof w:val="0"/>
                      <w:sz w:val="26"/>
                      <w:szCs w:val="26"/>
                      <w:rtl/>
                    </w:rPr>
                  </w:pPr>
                </w:p>
                <w:p w:rsidR="00214F7B" w:rsidRDefault="00214F7B">
                  <w:pPr>
                    <w:suppressLineNumbers/>
                    <w:rPr>
                      <w:rFonts w:ascii="David" w:hAnsi="David"/>
                      <w:b/>
                      <w:bCs/>
                      <w:noProof w:val="0"/>
                      <w:sz w:val="26"/>
                      <w:szCs w:val="26"/>
                      <w:rtl/>
                    </w:rPr>
                  </w:pPr>
                  <w:r>
                    <w:rPr>
                      <w:rFonts w:ascii="David" w:hAnsi="David"/>
                      <w:b/>
                      <w:bCs/>
                      <w:noProof w:val="0"/>
                      <w:sz w:val="26"/>
                      <w:szCs w:val="26"/>
                      <w:rtl/>
                    </w:rPr>
                    <w:t xml:space="preserve">עו"ד יצחק מולכו, המנהל המיוחד מטעם הכנ"ר בתפקידו כנאמן בהליכי הפש"ר של החייב ובתפקידו כמפרק בהליכי פירוק החברות </w:t>
                  </w:r>
                </w:p>
                <w:p w:rsidR="00214F7B" w:rsidRDefault="00214F7B" w:rsidP="003456D4">
                  <w:pPr>
                    <w:suppressLineNumbers/>
                    <w:rPr>
                      <w:rFonts w:ascii="David" w:hAnsi="David"/>
                      <w:noProof w:val="0"/>
                      <w:sz w:val="26"/>
                      <w:szCs w:val="26"/>
                      <w:rtl/>
                    </w:rPr>
                  </w:pPr>
                  <w:r>
                    <w:rPr>
                      <w:rFonts w:ascii="David" w:hAnsi="David"/>
                      <w:noProof w:val="0"/>
                      <w:sz w:val="26"/>
                      <w:szCs w:val="26"/>
                      <w:rtl/>
                    </w:rPr>
                    <w:t xml:space="preserve">ע"י ב"כ עו"ד </w:t>
                  </w:r>
                  <w:r w:rsidR="003456D4">
                    <w:rPr>
                      <w:rFonts w:ascii="David" w:hAnsi="David" w:hint="cs"/>
                      <w:noProof w:val="0"/>
                      <w:sz w:val="26"/>
                      <w:szCs w:val="26"/>
                      <w:rtl/>
                    </w:rPr>
                    <w:t>הילה דניאל</w:t>
                  </w:r>
                </w:p>
                <w:p w:rsidR="00214F7B" w:rsidRDefault="00214F7B">
                  <w:pPr>
                    <w:suppressLineNumbers/>
                    <w:rPr>
                      <w:rFonts w:ascii="David" w:hAnsi="David"/>
                      <w:noProof w:val="0"/>
                      <w:sz w:val="26"/>
                      <w:szCs w:val="26"/>
                      <w:rtl/>
                    </w:rPr>
                  </w:pPr>
                </w:p>
              </w:tc>
            </w:tr>
            <w:tr w:rsidR="00214F7B">
              <w:trPr>
                <w:jc w:val="center"/>
              </w:trPr>
              <w:tc>
                <w:tcPr>
                  <w:tcW w:w="8820" w:type="dxa"/>
                  <w:gridSpan w:val="2"/>
                </w:tcPr>
                <w:p w:rsidR="00214F7B" w:rsidRDefault="00214F7B">
                  <w:pPr>
                    <w:suppressLineNumbers/>
                    <w:rPr>
                      <w:rFonts w:ascii="David" w:hAnsi="David"/>
                      <w:b/>
                      <w:bCs/>
                      <w:noProof w:val="0"/>
                      <w:sz w:val="26"/>
                      <w:szCs w:val="26"/>
                      <w:rtl/>
                    </w:rPr>
                  </w:pPr>
                </w:p>
              </w:tc>
            </w:tr>
            <w:tr w:rsidR="00214F7B">
              <w:trPr>
                <w:jc w:val="center"/>
              </w:trPr>
              <w:tc>
                <w:tcPr>
                  <w:tcW w:w="3249" w:type="dxa"/>
                </w:tcPr>
                <w:p w:rsidR="00214F7B" w:rsidRDefault="00214F7B">
                  <w:pPr>
                    <w:suppressLineNumbers/>
                    <w:rPr>
                      <w:rFonts w:ascii="David" w:hAnsi="David"/>
                      <w:b/>
                      <w:bCs/>
                      <w:noProof w:val="0"/>
                      <w:sz w:val="26"/>
                      <w:szCs w:val="26"/>
                      <w:rtl/>
                    </w:rPr>
                  </w:pPr>
                  <w:r>
                    <w:rPr>
                      <w:rFonts w:ascii="David" w:hAnsi="David"/>
                      <w:b/>
                      <w:bCs/>
                      <w:noProof w:val="0"/>
                      <w:sz w:val="26"/>
                      <w:szCs w:val="26"/>
                      <w:rtl/>
                    </w:rPr>
                    <w:t xml:space="preserve">ובעניין: </w:t>
                  </w:r>
                </w:p>
                <w:p w:rsidR="00214F7B" w:rsidRDefault="00214F7B">
                  <w:pPr>
                    <w:suppressLineNumbers/>
                    <w:jc w:val="right"/>
                    <w:rPr>
                      <w:rFonts w:ascii="David" w:hAnsi="David"/>
                      <w:b/>
                      <w:bCs/>
                      <w:noProof w:val="0"/>
                      <w:sz w:val="26"/>
                      <w:szCs w:val="26"/>
                    </w:rPr>
                  </w:pPr>
                </w:p>
                <w:p w:rsidR="00214F7B" w:rsidRDefault="00214F7B">
                  <w:pPr>
                    <w:suppressLineNumbers/>
                    <w:jc w:val="right"/>
                    <w:rPr>
                      <w:rFonts w:ascii="David" w:hAnsi="David"/>
                      <w:b/>
                      <w:bCs/>
                      <w:noProof w:val="0"/>
                      <w:sz w:val="26"/>
                      <w:szCs w:val="26"/>
                    </w:rPr>
                  </w:pPr>
                </w:p>
                <w:p w:rsidR="00214F7B" w:rsidRDefault="00214F7B">
                  <w:pPr>
                    <w:suppressLineNumbers/>
                    <w:rPr>
                      <w:rFonts w:ascii="David" w:hAnsi="David"/>
                      <w:b/>
                      <w:bCs/>
                      <w:noProof w:val="0"/>
                      <w:sz w:val="26"/>
                      <w:szCs w:val="26"/>
                      <w:rtl/>
                    </w:rPr>
                  </w:pPr>
                </w:p>
              </w:tc>
              <w:tc>
                <w:tcPr>
                  <w:tcW w:w="5571" w:type="dxa"/>
                  <w:hideMark/>
                </w:tcPr>
                <w:p w:rsidR="00214F7B" w:rsidRDefault="00214F7B">
                  <w:pPr>
                    <w:suppressLineNumbers/>
                    <w:rPr>
                      <w:rFonts w:ascii="David" w:hAnsi="David"/>
                      <w:b/>
                      <w:bCs/>
                      <w:noProof w:val="0"/>
                      <w:sz w:val="26"/>
                      <w:szCs w:val="26"/>
                      <w:rtl/>
                    </w:rPr>
                  </w:pPr>
                  <w:r>
                    <w:rPr>
                      <w:rFonts w:ascii="David" w:hAnsi="David"/>
                      <w:b/>
                      <w:bCs/>
                      <w:noProof w:val="0"/>
                      <w:sz w:val="26"/>
                      <w:szCs w:val="26"/>
                      <w:rtl/>
                    </w:rPr>
                    <w:t>כונס הנכסים הרשמי</w:t>
                  </w:r>
                </w:p>
                <w:p w:rsidR="00214F7B" w:rsidRDefault="00214F7B">
                  <w:pPr>
                    <w:suppressLineNumbers/>
                    <w:rPr>
                      <w:rFonts w:ascii="David" w:hAnsi="David"/>
                      <w:sz w:val="26"/>
                      <w:szCs w:val="26"/>
                      <w:rtl/>
                    </w:rPr>
                  </w:pPr>
                  <w:r>
                    <w:rPr>
                      <w:rFonts w:ascii="David" w:hAnsi="David"/>
                      <w:noProof w:val="0"/>
                      <w:sz w:val="26"/>
                      <w:szCs w:val="26"/>
                      <w:rtl/>
                    </w:rPr>
                    <w:t>ע"י ב"כ עו"ד ציפי סולומון-דרמר</w:t>
                  </w:r>
                </w:p>
              </w:tc>
            </w:tr>
          </w:tbl>
          <w:p w:rsidR="00214F7B" w:rsidRDefault="00214F7B">
            <w:pPr>
              <w:jc w:val="center"/>
              <w:rPr>
                <w:rFonts w:cs="Times New Roman"/>
                <w:noProof w:val="0"/>
                <w:sz w:val="20"/>
                <w:szCs w:val="20"/>
                <w:rtl/>
              </w:rPr>
            </w:pPr>
          </w:p>
        </w:tc>
      </w:tr>
    </w:tbl>
    <w:p w:rsidR="00214F7B" w:rsidRDefault="00214F7B" w:rsidP="00214F7B">
      <w:pPr>
        <w:suppressLineNumbers/>
        <w:rPr>
          <w:rFonts w:ascii="David" w:hAnsi="David"/>
          <w:sz w:val="26"/>
          <w:szCs w:val="26"/>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14F7B" w:rsidTr="00214F7B">
        <w:trPr>
          <w:jc w:val="center"/>
        </w:trPr>
        <w:tc>
          <w:tcPr>
            <w:tcW w:w="8820" w:type="dxa"/>
            <w:hideMark/>
          </w:tcPr>
          <w:p w:rsidR="00214F7B" w:rsidRDefault="00214F7B">
            <w:pPr>
              <w:bidi w:val="0"/>
              <w:jc w:val="center"/>
              <w:rPr>
                <w:rFonts w:ascii="David" w:hAnsi="David"/>
                <w:b/>
                <w:bCs/>
                <w:noProof w:val="0"/>
                <w:sz w:val="26"/>
                <w:szCs w:val="26"/>
                <w:u w:val="single"/>
              </w:rPr>
            </w:pPr>
            <w:r>
              <w:rPr>
                <w:rFonts w:ascii="David" w:hAnsi="David"/>
                <w:b/>
                <w:bCs/>
                <w:noProof w:val="0"/>
                <w:sz w:val="32"/>
                <w:szCs w:val="32"/>
                <w:u w:val="single"/>
                <w:rtl/>
              </w:rPr>
              <w:t>החלטה</w:t>
            </w:r>
          </w:p>
        </w:tc>
      </w:tr>
    </w:tbl>
    <w:p w:rsidR="002E7AA6" w:rsidRDefault="002E7AA6" w:rsidP="00214F7B">
      <w:pPr>
        <w:spacing w:after="360" w:line="360" w:lineRule="auto"/>
        <w:jc w:val="both"/>
        <w:rPr>
          <w:rFonts w:ascii="David" w:hAnsi="David"/>
          <w:noProof w:val="0"/>
          <w:sz w:val="26"/>
          <w:szCs w:val="26"/>
          <w:rtl/>
        </w:rPr>
      </w:pPr>
      <w:bookmarkStart w:id="1" w:name="NGCSBookmark"/>
      <w:bookmarkEnd w:id="1"/>
    </w:p>
    <w:p w:rsidR="00214F7B" w:rsidRDefault="00214F7B" w:rsidP="00214F7B">
      <w:pPr>
        <w:spacing w:after="360" w:line="360" w:lineRule="auto"/>
        <w:jc w:val="both"/>
        <w:rPr>
          <w:rFonts w:ascii="David" w:hAnsi="David"/>
          <w:noProof w:val="0"/>
          <w:sz w:val="26"/>
          <w:szCs w:val="26"/>
          <w:rtl/>
        </w:rPr>
      </w:pPr>
      <w:r>
        <w:rPr>
          <w:rFonts w:ascii="David" w:hAnsi="David"/>
          <w:noProof w:val="0"/>
          <w:sz w:val="26"/>
          <w:szCs w:val="26"/>
          <w:rtl/>
        </w:rPr>
        <w:t xml:space="preserve">לפניי בקשה למתן הפטר בהליכי פשיטת הרגל של </w:t>
      </w:r>
      <w:r w:rsidR="003456D4">
        <w:rPr>
          <w:rFonts w:ascii="David" w:hAnsi="David" w:hint="cs"/>
          <w:noProof w:val="0"/>
          <w:sz w:val="26"/>
          <w:szCs w:val="26"/>
          <w:rtl/>
        </w:rPr>
        <w:t xml:space="preserve">מר </w:t>
      </w:r>
      <w:r>
        <w:rPr>
          <w:rFonts w:ascii="David" w:hAnsi="David"/>
          <w:noProof w:val="0"/>
          <w:sz w:val="26"/>
          <w:szCs w:val="26"/>
          <w:rtl/>
        </w:rPr>
        <w:t>בועז יונה בהתאם להוראות סעיף 62 לפקודת פשיטת הרגל [נוסח חדש], תש"ם-1980 (להלן: "</w:t>
      </w:r>
      <w:r>
        <w:rPr>
          <w:rFonts w:ascii="David" w:hAnsi="David"/>
          <w:bCs/>
          <w:noProof w:val="0"/>
          <w:sz w:val="26"/>
          <w:szCs w:val="26"/>
          <w:rtl/>
        </w:rPr>
        <w:t>הפקודה</w:t>
      </w:r>
      <w:r>
        <w:rPr>
          <w:rFonts w:ascii="David" w:hAnsi="David"/>
          <w:noProof w:val="0"/>
          <w:sz w:val="26"/>
          <w:szCs w:val="26"/>
          <w:rtl/>
        </w:rPr>
        <w:t>").</w:t>
      </w:r>
    </w:p>
    <w:p w:rsidR="00214F7B" w:rsidRDefault="00214F7B" w:rsidP="00214F7B">
      <w:pPr>
        <w:spacing w:after="360" w:line="360" w:lineRule="auto"/>
        <w:ind w:left="-199"/>
        <w:jc w:val="both"/>
        <w:rPr>
          <w:rFonts w:ascii="David" w:hAnsi="David"/>
          <w:b/>
          <w:bCs/>
          <w:noProof w:val="0"/>
          <w:sz w:val="26"/>
          <w:szCs w:val="26"/>
          <w:u w:val="single"/>
          <w:rtl/>
        </w:rPr>
      </w:pPr>
      <w:r>
        <w:rPr>
          <w:rFonts w:ascii="David" w:hAnsi="David"/>
          <w:b/>
          <w:bCs/>
          <w:noProof w:val="0"/>
          <w:sz w:val="26"/>
          <w:szCs w:val="26"/>
          <w:u w:val="single"/>
          <w:rtl/>
        </w:rPr>
        <w:t>הרקע להליך</w:t>
      </w: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בסוף שנות ה</w:t>
      </w:r>
      <w:r>
        <w:rPr>
          <w:rFonts w:ascii="David" w:hAnsi="David" w:cs="Times New Roman"/>
          <w:sz w:val="26"/>
          <w:szCs w:val="26"/>
          <w:rtl/>
        </w:rPr>
        <w:t xml:space="preserve">-60 </w:t>
      </w:r>
      <w:r>
        <w:rPr>
          <w:rFonts w:ascii="David" w:hAnsi="David" w:cs="David"/>
          <w:sz w:val="26"/>
          <w:szCs w:val="26"/>
          <w:rtl/>
          <w:lang w:bidi="he-IL"/>
        </w:rPr>
        <w:t>של המאה הקודמת הקים מרדכי יונה ז</w:t>
      </w:r>
      <w:r>
        <w:rPr>
          <w:rFonts w:ascii="David" w:hAnsi="David" w:cs="Times New Roman"/>
          <w:sz w:val="26"/>
          <w:szCs w:val="26"/>
          <w:rtl/>
        </w:rPr>
        <w:t>"</w:t>
      </w:r>
      <w:r>
        <w:rPr>
          <w:rFonts w:ascii="David" w:hAnsi="David" w:cs="David"/>
          <w:sz w:val="26"/>
          <w:szCs w:val="26"/>
          <w:rtl/>
          <w:lang w:bidi="he-IL"/>
        </w:rPr>
        <w:t xml:space="preserve">ל את קבוצת החברות הידועה בשם </w:t>
      </w:r>
      <w:r>
        <w:rPr>
          <w:rFonts w:ascii="David" w:hAnsi="David" w:cs="Times New Roman"/>
          <w:sz w:val="26"/>
          <w:szCs w:val="26"/>
          <w:rtl/>
        </w:rPr>
        <w:t>"</w:t>
      </w:r>
      <w:r>
        <w:rPr>
          <w:rFonts w:ascii="David" w:hAnsi="David" w:cs="David"/>
          <w:sz w:val="26"/>
          <w:szCs w:val="26"/>
          <w:rtl/>
          <w:lang w:bidi="he-IL"/>
        </w:rPr>
        <w:t>קבוצת חפציבה</w:t>
      </w:r>
      <w:r>
        <w:rPr>
          <w:rFonts w:ascii="David" w:hAnsi="David" w:cs="Times New Roman"/>
          <w:sz w:val="26"/>
          <w:szCs w:val="26"/>
          <w:rtl/>
        </w:rPr>
        <w:t xml:space="preserve">" </w:t>
      </w:r>
      <w:r>
        <w:rPr>
          <w:rFonts w:ascii="David" w:hAnsi="David" w:cs="David"/>
          <w:sz w:val="26"/>
          <w:szCs w:val="26"/>
          <w:rtl/>
          <w:lang w:bidi="he-IL"/>
        </w:rPr>
        <w:t xml:space="preserve">שעיסוקה היה בתחום הבניה </w:t>
      </w:r>
      <w:r>
        <w:rPr>
          <w:rFonts w:ascii="David" w:hAnsi="David" w:cs="Times New Roman"/>
          <w:sz w:val="26"/>
          <w:szCs w:val="26"/>
          <w:rtl/>
        </w:rPr>
        <w:t>(</w:t>
      </w:r>
      <w:r>
        <w:rPr>
          <w:rFonts w:ascii="David" w:hAnsi="David" w:cs="David"/>
          <w:sz w:val="26"/>
          <w:szCs w:val="26"/>
          <w:rtl/>
          <w:lang w:bidi="he-IL"/>
        </w:rPr>
        <w:t>להלן</w:t>
      </w:r>
      <w:r>
        <w:rPr>
          <w:rFonts w:ascii="David" w:hAnsi="David" w:cs="Times New Roman"/>
          <w:sz w:val="26"/>
          <w:szCs w:val="26"/>
          <w:rtl/>
        </w:rPr>
        <w:t xml:space="preserve">: </w:t>
      </w:r>
      <w:r>
        <w:rPr>
          <w:rFonts w:ascii="David" w:hAnsi="David" w:cs="Times New Roman"/>
          <w:b/>
          <w:bCs/>
          <w:sz w:val="26"/>
          <w:szCs w:val="26"/>
          <w:rtl/>
        </w:rPr>
        <w:t>"</w:t>
      </w:r>
      <w:r>
        <w:rPr>
          <w:rFonts w:ascii="David" w:hAnsi="David" w:cs="David"/>
          <w:b/>
          <w:bCs/>
          <w:sz w:val="26"/>
          <w:szCs w:val="26"/>
          <w:rtl/>
          <w:lang w:bidi="he-IL"/>
        </w:rPr>
        <w:t>קבוצת חפציבה</w:t>
      </w:r>
      <w:r>
        <w:rPr>
          <w:rFonts w:ascii="David" w:hAnsi="David" w:cs="Times New Roman"/>
          <w:b/>
          <w:bCs/>
          <w:sz w:val="26"/>
          <w:szCs w:val="26"/>
          <w:rtl/>
        </w:rPr>
        <w:t>"</w:t>
      </w:r>
      <w:r>
        <w:rPr>
          <w:rFonts w:ascii="David" w:hAnsi="David" w:cs="David"/>
          <w:b/>
          <w:bCs/>
          <w:sz w:val="26"/>
          <w:szCs w:val="26"/>
          <w:rtl/>
          <w:lang w:bidi="he-IL"/>
        </w:rPr>
        <w:t xml:space="preserve"> </w:t>
      </w:r>
      <w:r>
        <w:rPr>
          <w:rFonts w:ascii="David" w:hAnsi="David" w:cs="David"/>
          <w:b/>
          <w:sz w:val="26"/>
          <w:szCs w:val="26"/>
          <w:rtl/>
          <w:lang w:bidi="he-IL"/>
        </w:rPr>
        <w:t>ו/או</w:t>
      </w:r>
      <w:r>
        <w:rPr>
          <w:rFonts w:ascii="David" w:hAnsi="David" w:cs="David"/>
          <w:b/>
          <w:bCs/>
          <w:sz w:val="26"/>
          <w:szCs w:val="26"/>
          <w:rtl/>
          <w:lang w:bidi="he-IL"/>
        </w:rPr>
        <w:t xml:space="preserve"> "הקבוצה"</w:t>
      </w:r>
      <w:r>
        <w:rPr>
          <w:rFonts w:ascii="David" w:hAnsi="David" w:cs="Times New Roman"/>
          <w:sz w:val="26"/>
          <w:szCs w:val="26"/>
          <w:rtl/>
        </w:rPr>
        <w:t>).</w:t>
      </w:r>
      <w:r>
        <w:rPr>
          <w:rFonts w:ascii="David" w:hAnsi="David" w:cs="David"/>
          <w:sz w:val="26"/>
          <w:szCs w:val="26"/>
          <w:rtl/>
          <w:lang w:bidi="he-IL"/>
        </w:rPr>
        <w:t xml:space="preserve"> במרוצת השנים הצטרף אליו בנו בועז יונה בניהול עסקי הקבוצה</w:t>
      </w:r>
      <w:r>
        <w:rPr>
          <w:rFonts w:ascii="David" w:hAnsi="David" w:cs="Times New Roman"/>
          <w:sz w:val="26"/>
          <w:szCs w:val="26"/>
          <w:rtl/>
        </w:rPr>
        <w:t xml:space="preserve"> (</w:t>
      </w:r>
      <w:r>
        <w:rPr>
          <w:rFonts w:ascii="David" w:hAnsi="David" w:cs="David"/>
          <w:sz w:val="26"/>
          <w:szCs w:val="26"/>
          <w:rtl/>
          <w:lang w:bidi="he-IL"/>
        </w:rPr>
        <w:t>להלן</w:t>
      </w:r>
      <w:r>
        <w:rPr>
          <w:rFonts w:ascii="David" w:hAnsi="David" w:cs="Times New Roman"/>
          <w:sz w:val="26"/>
          <w:szCs w:val="26"/>
          <w:rtl/>
        </w:rPr>
        <w:t>: "</w:t>
      </w:r>
      <w:r>
        <w:rPr>
          <w:rFonts w:ascii="David" w:hAnsi="David" w:cs="David"/>
          <w:b/>
          <w:bCs/>
          <w:sz w:val="26"/>
          <w:szCs w:val="26"/>
          <w:rtl/>
          <w:lang w:bidi="he-IL"/>
        </w:rPr>
        <w:t>החייב</w:t>
      </w:r>
      <w:r>
        <w:rPr>
          <w:rFonts w:ascii="David" w:hAnsi="David" w:cs="Times New Roman"/>
          <w:sz w:val="26"/>
          <w:szCs w:val="26"/>
          <w:rtl/>
        </w:rPr>
        <w:t xml:space="preserve">" </w:t>
      </w:r>
      <w:r>
        <w:rPr>
          <w:rFonts w:ascii="David" w:hAnsi="David" w:cs="David"/>
          <w:sz w:val="26"/>
          <w:szCs w:val="26"/>
          <w:rtl/>
          <w:lang w:bidi="he-IL"/>
        </w:rPr>
        <w:t>ו</w:t>
      </w:r>
      <w:r>
        <w:rPr>
          <w:rFonts w:ascii="David" w:hAnsi="David" w:cs="Times New Roman"/>
          <w:sz w:val="26"/>
          <w:szCs w:val="26"/>
          <w:rtl/>
        </w:rPr>
        <w:t>/</w:t>
      </w:r>
      <w:r>
        <w:rPr>
          <w:rFonts w:ascii="David" w:hAnsi="David" w:cs="David"/>
          <w:sz w:val="26"/>
          <w:szCs w:val="26"/>
          <w:rtl/>
          <w:lang w:bidi="he-IL"/>
        </w:rPr>
        <w:t xml:space="preserve">או </w:t>
      </w:r>
      <w:r>
        <w:rPr>
          <w:rFonts w:ascii="David" w:hAnsi="David" w:cs="Times New Roman"/>
          <w:sz w:val="26"/>
          <w:szCs w:val="26"/>
          <w:rtl/>
        </w:rPr>
        <w:t>"</w:t>
      </w:r>
      <w:r>
        <w:rPr>
          <w:rFonts w:ascii="David" w:hAnsi="David" w:cs="David"/>
          <w:bCs/>
          <w:sz w:val="26"/>
          <w:szCs w:val="26"/>
          <w:rtl/>
          <w:lang w:bidi="he-IL"/>
        </w:rPr>
        <w:t>המבקש</w:t>
      </w:r>
      <w:r>
        <w:rPr>
          <w:rFonts w:ascii="David" w:hAnsi="David" w:cs="Times New Roman"/>
          <w:sz w:val="26"/>
          <w:szCs w:val="26"/>
          <w:rtl/>
        </w:rPr>
        <w:t xml:space="preserve">"). </w:t>
      </w:r>
      <w:r>
        <w:rPr>
          <w:rFonts w:ascii="David" w:hAnsi="David" w:cs="David"/>
          <w:sz w:val="26"/>
          <w:szCs w:val="26"/>
          <w:rtl/>
          <w:lang w:bidi="he-IL"/>
        </w:rPr>
        <w:t>לימים הפכה קבוצת חפציבה לאחת מקבלניות הבניה למגורים הגדולות בישראל</w:t>
      </w:r>
      <w:r>
        <w:rPr>
          <w:rFonts w:ascii="David" w:hAnsi="David" w:cs="Times New Roman"/>
          <w:sz w:val="26"/>
          <w:szCs w:val="26"/>
          <w:rtl/>
        </w:rPr>
        <w:t xml:space="preserve">, </w:t>
      </w:r>
      <w:r>
        <w:rPr>
          <w:rFonts w:ascii="David" w:hAnsi="David" w:cs="David"/>
          <w:sz w:val="26"/>
          <w:szCs w:val="26"/>
          <w:rtl/>
          <w:lang w:bidi="he-IL"/>
        </w:rPr>
        <w:t>ומכרה אלפי דירות למשפחות רבות</w:t>
      </w:r>
      <w:r>
        <w:rPr>
          <w:rFonts w:ascii="David" w:hAnsi="David" w:cs="Times New Roman"/>
          <w:sz w:val="26"/>
          <w:szCs w:val="26"/>
          <w:rtl/>
        </w:rPr>
        <w:t xml:space="preserve">. </w:t>
      </w:r>
      <w:r>
        <w:rPr>
          <w:rFonts w:ascii="David" w:hAnsi="David" w:cs="David"/>
          <w:sz w:val="26"/>
          <w:szCs w:val="26"/>
          <w:rtl/>
          <w:lang w:bidi="he-IL"/>
        </w:rPr>
        <w:t xml:space="preserve">בחודש אוגוסט </w:t>
      </w:r>
      <w:r>
        <w:rPr>
          <w:rFonts w:ascii="David" w:hAnsi="David" w:cs="Times New Roman"/>
          <w:sz w:val="26"/>
          <w:szCs w:val="26"/>
          <w:rtl/>
        </w:rPr>
        <w:t xml:space="preserve">2007 </w:t>
      </w:r>
      <w:r>
        <w:rPr>
          <w:rFonts w:ascii="David" w:hAnsi="David" w:cs="David"/>
          <w:sz w:val="26"/>
          <w:szCs w:val="26"/>
          <w:rtl/>
          <w:lang w:bidi="he-IL"/>
        </w:rPr>
        <w:t>קרסה הקבוצה</w:t>
      </w:r>
      <w:r>
        <w:rPr>
          <w:rFonts w:ascii="David" w:hAnsi="David" w:cs="Times New Roman"/>
          <w:sz w:val="26"/>
          <w:szCs w:val="26"/>
          <w:rtl/>
        </w:rPr>
        <w:t xml:space="preserve">, </w:t>
      </w:r>
      <w:r>
        <w:rPr>
          <w:rFonts w:ascii="David" w:hAnsi="David" w:cs="David"/>
          <w:sz w:val="26"/>
          <w:szCs w:val="26"/>
          <w:rtl/>
          <w:lang w:bidi="he-IL"/>
        </w:rPr>
        <w:t>והחלו להתנהל נגדה הליכי פירוק שעה שחובותיה הכספיים עומדים על כ</w:t>
      </w:r>
      <w:r>
        <w:rPr>
          <w:rFonts w:ascii="David" w:hAnsi="David" w:cs="Times New Roman"/>
          <w:sz w:val="26"/>
          <w:szCs w:val="26"/>
          <w:rtl/>
        </w:rPr>
        <w:t xml:space="preserve">-1.5 </w:t>
      </w:r>
      <w:r>
        <w:rPr>
          <w:rFonts w:ascii="David" w:hAnsi="David" w:cs="David"/>
          <w:sz w:val="26"/>
          <w:szCs w:val="26"/>
          <w:rtl/>
          <w:lang w:bidi="he-IL"/>
        </w:rPr>
        <w:t>מיליארד שקלים</w:t>
      </w:r>
      <w:r>
        <w:rPr>
          <w:rFonts w:ascii="David" w:hAnsi="David" w:cs="Times New Roman"/>
          <w:sz w:val="26"/>
          <w:szCs w:val="26"/>
          <w:rtl/>
        </w:rPr>
        <w:t xml:space="preserve"> (</w:t>
      </w:r>
      <w:r>
        <w:rPr>
          <w:rFonts w:ascii="David" w:hAnsi="David" w:cs="David"/>
          <w:sz w:val="26"/>
          <w:szCs w:val="26"/>
          <w:rtl/>
          <w:lang w:bidi="he-IL"/>
        </w:rPr>
        <w:t>להלן</w:t>
      </w:r>
      <w:r>
        <w:rPr>
          <w:rFonts w:ascii="David" w:hAnsi="David" w:cs="Times New Roman"/>
          <w:sz w:val="26"/>
          <w:szCs w:val="26"/>
          <w:rtl/>
        </w:rPr>
        <w:t>: "</w:t>
      </w:r>
      <w:r>
        <w:rPr>
          <w:rFonts w:ascii="David" w:hAnsi="David" w:cs="David"/>
          <w:b/>
          <w:bCs/>
          <w:sz w:val="26"/>
          <w:szCs w:val="26"/>
          <w:rtl/>
          <w:lang w:bidi="he-IL"/>
        </w:rPr>
        <w:t>הליכי הפירוק</w:t>
      </w:r>
      <w:r>
        <w:rPr>
          <w:rFonts w:ascii="David" w:hAnsi="David" w:cs="Times New Roman"/>
          <w:b/>
          <w:bCs/>
          <w:sz w:val="26"/>
          <w:szCs w:val="26"/>
          <w:rtl/>
        </w:rPr>
        <w:t>"</w:t>
      </w:r>
      <w:r>
        <w:rPr>
          <w:rFonts w:ascii="David" w:hAnsi="David" w:cs="Times New Roman"/>
          <w:sz w:val="26"/>
          <w:szCs w:val="26"/>
          <w:rtl/>
        </w:rPr>
        <w:t xml:space="preserve">). </w:t>
      </w:r>
      <w:r>
        <w:rPr>
          <w:rFonts w:ascii="David" w:hAnsi="David" w:cs="David"/>
          <w:sz w:val="26"/>
          <w:szCs w:val="26"/>
          <w:rtl/>
          <w:lang w:bidi="he-IL"/>
        </w:rPr>
        <w:t>קריסת הקבוצה הסבה פגיעה קשה לרוכשים שנותרו ללא דירות</w:t>
      </w:r>
      <w:r>
        <w:rPr>
          <w:rFonts w:ascii="David" w:hAnsi="David" w:cs="Times New Roman"/>
          <w:sz w:val="26"/>
          <w:szCs w:val="26"/>
          <w:rtl/>
        </w:rPr>
        <w:t xml:space="preserve">, </w:t>
      </w:r>
      <w:r>
        <w:rPr>
          <w:rFonts w:ascii="David" w:hAnsi="David" w:cs="David"/>
          <w:sz w:val="26"/>
          <w:szCs w:val="26"/>
          <w:rtl/>
          <w:lang w:bidi="he-IL"/>
        </w:rPr>
        <w:t xml:space="preserve">לחלקם אף לא ניתנו </w:t>
      </w:r>
      <w:r>
        <w:rPr>
          <w:rFonts w:ascii="David" w:hAnsi="David" w:cs="David"/>
          <w:sz w:val="26"/>
          <w:szCs w:val="26"/>
          <w:rtl/>
          <w:lang w:bidi="he-IL"/>
        </w:rPr>
        <w:lastRenderedPageBreak/>
        <w:t xml:space="preserve">ערבויות כנגד התמורה ששילמו </w:t>
      </w:r>
      <w:r>
        <w:rPr>
          <w:rFonts w:ascii="David" w:hAnsi="David" w:cs="Times New Roman"/>
          <w:sz w:val="26"/>
          <w:szCs w:val="26"/>
          <w:rtl/>
        </w:rPr>
        <w:t xml:space="preserve">– </w:t>
      </w:r>
      <w:r>
        <w:rPr>
          <w:rFonts w:ascii="David" w:hAnsi="David" w:cs="David"/>
          <w:sz w:val="26"/>
          <w:szCs w:val="26"/>
          <w:rtl/>
          <w:lang w:bidi="he-IL"/>
        </w:rPr>
        <w:t>וזאת בניגוד לדין</w:t>
      </w:r>
      <w:r>
        <w:rPr>
          <w:rFonts w:ascii="David" w:hAnsi="David" w:cs="Times New Roman"/>
          <w:sz w:val="26"/>
          <w:szCs w:val="26"/>
          <w:rtl/>
        </w:rPr>
        <w:t xml:space="preserve">. </w:t>
      </w:r>
      <w:r>
        <w:rPr>
          <w:rFonts w:ascii="David" w:hAnsi="David" w:cs="David"/>
          <w:sz w:val="26"/>
          <w:szCs w:val="26"/>
          <w:rtl/>
          <w:lang w:bidi="he-IL"/>
        </w:rPr>
        <w:t>החייב</w:t>
      </w:r>
      <w:r>
        <w:rPr>
          <w:rFonts w:ascii="David" w:hAnsi="David" w:cs="Times New Roman"/>
          <w:sz w:val="26"/>
          <w:szCs w:val="26"/>
          <w:rtl/>
        </w:rPr>
        <w:t xml:space="preserve">, </w:t>
      </w:r>
      <w:r>
        <w:rPr>
          <w:rFonts w:ascii="David" w:hAnsi="David" w:cs="David"/>
          <w:sz w:val="26"/>
          <w:szCs w:val="26"/>
          <w:rtl/>
          <w:lang w:bidi="he-IL"/>
        </w:rPr>
        <w:t>שכיהן באותה עת כדירקטור וכמנכ</w:t>
      </w:r>
      <w:r>
        <w:rPr>
          <w:rFonts w:ascii="David" w:hAnsi="David" w:cs="Times New Roman"/>
          <w:sz w:val="26"/>
          <w:szCs w:val="26"/>
          <w:rtl/>
        </w:rPr>
        <w:t>"</w:t>
      </w:r>
      <w:r>
        <w:rPr>
          <w:rFonts w:ascii="David" w:hAnsi="David" w:cs="David"/>
          <w:sz w:val="26"/>
          <w:szCs w:val="26"/>
          <w:rtl/>
          <w:lang w:bidi="he-IL"/>
        </w:rPr>
        <w:t>ל קבוצת חפציבה</w:t>
      </w:r>
      <w:r>
        <w:rPr>
          <w:rFonts w:ascii="David" w:hAnsi="David" w:cs="Times New Roman"/>
          <w:sz w:val="26"/>
          <w:szCs w:val="26"/>
          <w:rtl/>
        </w:rPr>
        <w:t xml:space="preserve">, </w:t>
      </w:r>
      <w:r>
        <w:rPr>
          <w:rFonts w:ascii="David" w:hAnsi="David" w:cs="David"/>
          <w:sz w:val="26"/>
          <w:szCs w:val="26"/>
          <w:rtl/>
          <w:lang w:bidi="he-IL"/>
        </w:rPr>
        <w:t xml:space="preserve">הורשע על פי הודאתו </w:t>
      </w:r>
      <w:r>
        <w:rPr>
          <w:rFonts w:ascii="David" w:hAnsi="David" w:cs="Times New Roman"/>
          <w:sz w:val="26"/>
          <w:szCs w:val="26"/>
          <w:rtl/>
        </w:rPr>
        <w:t>(</w:t>
      </w:r>
      <w:r>
        <w:rPr>
          <w:rFonts w:ascii="David" w:hAnsi="David" w:cs="David"/>
          <w:sz w:val="26"/>
          <w:szCs w:val="26"/>
          <w:rtl/>
          <w:lang w:bidi="he-IL"/>
        </w:rPr>
        <w:t>במסגרת הסדר טיעון</w:t>
      </w:r>
      <w:r>
        <w:rPr>
          <w:rFonts w:ascii="David" w:hAnsi="David" w:cs="Times New Roman"/>
          <w:sz w:val="26"/>
          <w:szCs w:val="26"/>
          <w:rtl/>
        </w:rPr>
        <w:t xml:space="preserve">) </w:t>
      </w:r>
      <w:r>
        <w:rPr>
          <w:rFonts w:ascii="David" w:hAnsi="David" w:cs="David"/>
          <w:sz w:val="26"/>
          <w:szCs w:val="26"/>
          <w:rtl/>
          <w:lang w:bidi="he-IL"/>
        </w:rPr>
        <w:t>בכך שעשה שימוש בכספי רוכשי הדירות לצרכיו שלו</w:t>
      </w:r>
      <w:r>
        <w:rPr>
          <w:rFonts w:ascii="David" w:hAnsi="David" w:cs="Times New Roman"/>
          <w:sz w:val="26"/>
          <w:szCs w:val="26"/>
          <w:rtl/>
        </w:rPr>
        <w:t xml:space="preserve">, </w:t>
      </w:r>
      <w:r>
        <w:rPr>
          <w:rFonts w:ascii="David" w:hAnsi="David" w:cs="David"/>
          <w:sz w:val="26"/>
          <w:szCs w:val="26"/>
          <w:rtl/>
          <w:lang w:bidi="he-IL"/>
        </w:rPr>
        <w:t>נמנע מלספק להם בטוחה כחוק להבטחת השקעותיהם בדירות</w:t>
      </w:r>
      <w:r>
        <w:rPr>
          <w:rFonts w:ascii="David" w:hAnsi="David" w:cs="Times New Roman"/>
          <w:sz w:val="26"/>
          <w:szCs w:val="26"/>
          <w:rtl/>
        </w:rPr>
        <w:t xml:space="preserve">, </w:t>
      </w:r>
      <w:r>
        <w:rPr>
          <w:rFonts w:ascii="David" w:hAnsi="David" w:cs="David"/>
          <w:sz w:val="26"/>
          <w:szCs w:val="26"/>
          <w:rtl/>
          <w:lang w:bidi="he-IL"/>
        </w:rPr>
        <w:t>וניהל רישומים כוזבים בספרי החברות. דינו נגזר והוטל עליו עונש של שבע שנות מאסר לריצוי בפועל ועונש של מאסר מותנה</w:t>
      </w:r>
      <w:r>
        <w:rPr>
          <w:rFonts w:ascii="David" w:hAnsi="David" w:cs="Times New Roman"/>
          <w:sz w:val="26"/>
          <w:szCs w:val="26"/>
          <w:rtl/>
        </w:rPr>
        <w:t xml:space="preserve">, </w:t>
      </w:r>
      <w:r>
        <w:rPr>
          <w:rFonts w:ascii="David" w:hAnsi="David" w:cs="David"/>
          <w:sz w:val="26"/>
          <w:szCs w:val="26"/>
          <w:rtl/>
          <w:lang w:bidi="he-IL"/>
        </w:rPr>
        <w:t xml:space="preserve">וכן הוא חויב בפיצוי רוכשי הדירות בסכום של </w:t>
      </w:r>
      <w:r>
        <w:rPr>
          <w:rFonts w:ascii="David" w:hAnsi="David" w:cs="Times New Roman"/>
          <w:sz w:val="26"/>
          <w:szCs w:val="26"/>
          <w:rtl/>
        </w:rPr>
        <w:t xml:space="preserve">4 </w:t>
      </w:r>
      <w:r>
        <w:rPr>
          <w:rFonts w:ascii="David" w:hAnsi="David" w:cs="David"/>
          <w:sz w:val="26"/>
          <w:szCs w:val="26"/>
          <w:rtl/>
          <w:lang w:bidi="he-IL"/>
        </w:rPr>
        <w:t>מיליון ₪</w:t>
      </w:r>
      <w:r w:rsidR="005068E6">
        <w:rPr>
          <w:rFonts w:ascii="David" w:hAnsi="David" w:cs="David" w:hint="cs"/>
          <w:sz w:val="26"/>
          <w:szCs w:val="26"/>
          <w:rtl/>
          <w:lang w:bidi="he-IL"/>
        </w:rPr>
        <w:t xml:space="preserve"> (התיאור עד כאן מבוסס על פסק דין בע"א 7594/16 </w:t>
      </w:r>
      <w:r w:rsidR="005068E6" w:rsidRPr="0002463A">
        <w:rPr>
          <w:rFonts w:ascii="David" w:hAnsi="David" w:cs="David" w:hint="cs"/>
          <w:b/>
          <w:bCs/>
          <w:sz w:val="26"/>
          <w:szCs w:val="26"/>
          <w:rtl/>
          <w:lang w:bidi="he-IL"/>
        </w:rPr>
        <w:t>עו"ד יצחק מולכו, המנהל המיוחד נ' בנק מזרחי טפחות בע"מ</w:t>
      </w:r>
      <w:r w:rsidR="005068E6">
        <w:rPr>
          <w:rFonts w:ascii="David" w:hAnsi="David" w:cs="David" w:hint="cs"/>
          <w:sz w:val="26"/>
          <w:szCs w:val="26"/>
          <w:rtl/>
          <w:lang w:bidi="he-IL"/>
        </w:rPr>
        <w:t xml:space="preserve"> (25.3.21) בפסקה 2)</w:t>
      </w:r>
      <w:r w:rsidR="0002463A">
        <w:rPr>
          <w:rFonts w:ascii="David" w:hAnsi="David" w:cs="David" w:hint="cs"/>
          <w:sz w:val="26"/>
          <w:szCs w:val="26"/>
          <w:rtl/>
          <w:lang w:bidi="he-IL"/>
        </w:rPr>
        <w:t xml:space="preserve">. </w:t>
      </w:r>
      <w:r>
        <w:rPr>
          <w:rFonts w:ascii="David" w:hAnsi="David" w:cs="David"/>
          <w:sz w:val="26"/>
          <w:szCs w:val="26"/>
          <w:rtl/>
          <w:lang w:bidi="he-IL"/>
        </w:rPr>
        <w:t>ראו</w:t>
      </w:r>
      <w:r>
        <w:rPr>
          <w:rFonts w:ascii="David" w:hAnsi="David" w:cs="Times New Roman"/>
          <w:sz w:val="26"/>
          <w:szCs w:val="26"/>
          <w:rtl/>
        </w:rPr>
        <w:t>:</w:t>
      </w:r>
      <w:r>
        <w:rPr>
          <w:rFonts w:ascii="David" w:hAnsi="David" w:cs="David"/>
          <w:sz w:val="26"/>
          <w:szCs w:val="26"/>
          <w:rtl/>
          <w:lang w:bidi="he-IL"/>
        </w:rPr>
        <w:t xml:space="preserve"> ת</w:t>
      </w:r>
      <w:r>
        <w:rPr>
          <w:rFonts w:ascii="David" w:hAnsi="David" w:cs="Times New Roman"/>
          <w:sz w:val="26"/>
          <w:szCs w:val="26"/>
          <w:rtl/>
        </w:rPr>
        <w:t>"</w:t>
      </w:r>
      <w:r>
        <w:rPr>
          <w:rFonts w:ascii="David" w:hAnsi="David" w:cs="David"/>
          <w:sz w:val="26"/>
          <w:szCs w:val="26"/>
          <w:rtl/>
          <w:lang w:bidi="he-IL"/>
        </w:rPr>
        <w:t xml:space="preserve">פ 209/08 </w:t>
      </w:r>
      <w:r>
        <w:rPr>
          <w:rFonts w:ascii="David" w:hAnsi="David" w:cs="David"/>
          <w:b/>
          <w:bCs/>
          <w:sz w:val="26"/>
          <w:szCs w:val="26"/>
          <w:rtl/>
          <w:lang w:bidi="he-IL"/>
        </w:rPr>
        <w:t>מדינת ישראל נ</w:t>
      </w:r>
      <w:r>
        <w:rPr>
          <w:rFonts w:ascii="David" w:hAnsi="David" w:cs="Times New Roman"/>
          <w:b/>
          <w:bCs/>
          <w:sz w:val="26"/>
          <w:szCs w:val="26"/>
          <w:rtl/>
        </w:rPr>
        <w:t>'</w:t>
      </w:r>
      <w:r>
        <w:rPr>
          <w:rFonts w:ascii="David" w:hAnsi="David" w:cs="Times New Roman"/>
          <w:sz w:val="26"/>
          <w:szCs w:val="26"/>
          <w:rtl/>
        </w:rPr>
        <w:t xml:space="preserve"> </w:t>
      </w:r>
      <w:r>
        <w:rPr>
          <w:rFonts w:ascii="David" w:hAnsi="David" w:cs="David"/>
          <w:bCs/>
          <w:sz w:val="26"/>
          <w:szCs w:val="26"/>
          <w:rtl/>
          <w:lang w:bidi="he-IL"/>
        </w:rPr>
        <w:t>יונה</w:t>
      </w:r>
      <w:r>
        <w:rPr>
          <w:rFonts w:ascii="David" w:hAnsi="David" w:cs="Times New Roman"/>
          <w:sz w:val="26"/>
          <w:szCs w:val="26"/>
          <w:rtl/>
        </w:rPr>
        <w:t xml:space="preserve"> (19.11.08) </w:t>
      </w:r>
      <w:r>
        <w:rPr>
          <w:rFonts w:ascii="David" w:hAnsi="David" w:cs="David"/>
          <w:sz w:val="26"/>
          <w:szCs w:val="26"/>
          <w:rtl/>
          <w:lang w:bidi="he-IL"/>
        </w:rPr>
        <w:t xml:space="preserve">והערעור שהגיש החייב </w:t>
      </w:r>
      <w:r>
        <w:rPr>
          <w:rFonts w:ascii="David" w:hAnsi="David" w:cs="Times New Roman"/>
          <w:sz w:val="26"/>
          <w:szCs w:val="26"/>
          <w:rtl/>
        </w:rPr>
        <w:t>(</w:t>
      </w:r>
      <w:r>
        <w:rPr>
          <w:rFonts w:ascii="David" w:hAnsi="David" w:cs="David"/>
          <w:sz w:val="26"/>
          <w:szCs w:val="26"/>
          <w:rtl/>
          <w:lang w:bidi="he-IL"/>
        </w:rPr>
        <w:t>בקשר לפיצוי שנגזר עליו לשלם</w:t>
      </w:r>
      <w:r>
        <w:rPr>
          <w:rFonts w:ascii="David" w:hAnsi="David" w:cs="Times New Roman"/>
          <w:sz w:val="26"/>
          <w:szCs w:val="26"/>
          <w:rtl/>
        </w:rPr>
        <w:t xml:space="preserve">) </w:t>
      </w:r>
      <w:r>
        <w:rPr>
          <w:rFonts w:ascii="David" w:hAnsi="David" w:cs="David"/>
          <w:sz w:val="26"/>
          <w:szCs w:val="26"/>
          <w:rtl/>
          <w:lang w:bidi="he-IL"/>
        </w:rPr>
        <w:t>במסגרת ע</w:t>
      </w:r>
      <w:r>
        <w:rPr>
          <w:rFonts w:ascii="David" w:hAnsi="David" w:cs="Times New Roman"/>
          <w:sz w:val="26"/>
          <w:szCs w:val="26"/>
          <w:rtl/>
        </w:rPr>
        <w:t>"</w:t>
      </w:r>
      <w:r>
        <w:rPr>
          <w:rFonts w:ascii="David" w:hAnsi="David" w:cs="David"/>
          <w:sz w:val="26"/>
          <w:szCs w:val="26"/>
          <w:rtl/>
          <w:lang w:bidi="he-IL"/>
        </w:rPr>
        <w:t xml:space="preserve">א </w:t>
      </w:r>
      <w:r>
        <w:rPr>
          <w:rFonts w:ascii="David" w:hAnsi="David" w:cs="Times New Roman"/>
          <w:sz w:val="26"/>
          <w:szCs w:val="26"/>
          <w:rtl/>
        </w:rPr>
        <w:t xml:space="preserve">11141/08 </w:t>
      </w:r>
      <w:r>
        <w:rPr>
          <w:rFonts w:ascii="David" w:hAnsi="David" w:cs="David"/>
          <w:b/>
          <w:bCs/>
          <w:sz w:val="26"/>
          <w:szCs w:val="26"/>
          <w:rtl/>
          <w:lang w:bidi="he-IL"/>
        </w:rPr>
        <w:t>יונה נ</w:t>
      </w:r>
      <w:r>
        <w:rPr>
          <w:rFonts w:ascii="David" w:hAnsi="David" w:cs="Times New Roman"/>
          <w:b/>
          <w:bCs/>
          <w:sz w:val="26"/>
          <w:szCs w:val="26"/>
          <w:rtl/>
        </w:rPr>
        <w:t xml:space="preserve">' </w:t>
      </w:r>
      <w:r>
        <w:rPr>
          <w:rFonts w:ascii="David" w:hAnsi="David" w:cs="David"/>
          <w:b/>
          <w:bCs/>
          <w:sz w:val="26"/>
          <w:szCs w:val="26"/>
          <w:rtl/>
          <w:lang w:bidi="he-IL"/>
        </w:rPr>
        <w:t>מדינת ישראל</w:t>
      </w:r>
      <w:r w:rsidR="0002463A">
        <w:rPr>
          <w:rFonts w:ascii="David" w:hAnsi="David" w:cs="Times New Roman"/>
          <w:sz w:val="26"/>
          <w:szCs w:val="26"/>
          <w:rtl/>
        </w:rPr>
        <w:t xml:space="preserve"> (17.7.2011)</w:t>
      </w:r>
      <w:r w:rsidR="0002463A">
        <w:rPr>
          <w:rFonts w:ascii="David" w:hAnsi="David" w:cs="Times New Roman" w:hint="cs"/>
          <w:sz w:val="26"/>
          <w:szCs w:val="26"/>
          <w:rtl/>
          <w:lang w:bidi="he-IL"/>
        </w:rPr>
        <w:t xml:space="preserve">. </w:t>
      </w:r>
      <w:r>
        <w:rPr>
          <w:rFonts w:ascii="David" w:hAnsi="David" w:cs="Times New Roman"/>
          <w:sz w:val="26"/>
          <w:szCs w:val="26"/>
          <w:rtl/>
        </w:rPr>
        <w:t xml:space="preserve"> </w:t>
      </w:r>
    </w:p>
    <w:p w:rsidR="00214F7B" w:rsidRDefault="00214F7B" w:rsidP="00214F7B">
      <w:pPr>
        <w:pStyle w:val="af1"/>
        <w:bidi/>
        <w:spacing w:after="360" w:line="360" w:lineRule="auto"/>
        <w:ind w:left="1080"/>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במסגרת גזר הדין שניתן, פירט בית המשפט המחוזי (כב' השופט (בדימוס) מ' רביד) את האישומים שבכתב האישום, בהם הודה החייב, במסגרת הסדר הטיעון. לאור חשיבות הדברים לענייננו, מצאתי לנכון להביאם כדלקמן:</w:t>
      </w:r>
    </w:p>
    <w:p w:rsidR="00214F7B" w:rsidRDefault="00214F7B" w:rsidP="00214F7B">
      <w:pPr>
        <w:pStyle w:val="af1"/>
        <w:bidi/>
        <w:spacing w:after="360" w:line="360" w:lineRule="auto"/>
        <w:ind w:left="941" w:right="709"/>
        <w:jc w:val="both"/>
        <w:rPr>
          <w:b/>
          <w:bCs/>
          <w:color w:val="000000"/>
          <w:sz w:val="26"/>
          <w:szCs w:val="26"/>
          <w:rtl/>
        </w:rPr>
      </w:pPr>
      <w:r>
        <w:rPr>
          <w:rFonts w:ascii="Times New Roman" w:hAnsi="Times New Roman" w:cs="David"/>
          <w:noProof/>
          <w:color w:val="000000"/>
          <w:sz w:val="26"/>
          <w:szCs w:val="26"/>
          <w:rtl/>
          <w:lang w:bidi="he-IL"/>
        </w:rPr>
        <w:t>"</w:t>
      </w:r>
      <w:r>
        <w:rPr>
          <w:rFonts w:ascii="Times New Roman" w:hAnsi="Times New Roman" w:cs="David"/>
          <w:b/>
          <w:bCs/>
          <w:noProof/>
          <w:color w:val="000000"/>
          <w:sz w:val="26"/>
          <w:szCs w:val="26"/>
          <w:rtl/>
          <w:lang w:bidi="he-IL"/>
        </w:rPr>
        <w:t>2. כמתואר בחלק הכללי לכתב האישום, בתקופה הרלוונטית פעל הנאשם, יחד עם נושאי משרה ועובדים אחרים בחברות חפציבה, באופן שהתאפשר לו לעשות שימוש הן בכספי רוכשי הדירות מחפציבה בפרויקטים הקבלניים והן בכספים בחברות הציבוריות, זאת על-פי רצונו, צרכיו ומטרותיו, תוך עשיית הפעולות כדלקמן: הימנעות מלספק לרוכשי הדירות בטוחה, כמתחייב על-פי חוק המכר (דירות) (הבטחת השקעות של רוכשי דירות), התשל"ה-1974 (להלן - "חוק המכר"), וחשיפתם לסיכונים כלכליים שונים; עריכת רישומים כוזבים בספרי חפציבה, זיוף מסמכים והסוואת הפעולות שבוצעו בכספים מעיני בעלי המניות וציבור המשקיעים, רואי חשבון, בנקים מפקחים וגורמים שונים נוספים, לרבות הצגת מצגים כוזבים בפני גורמים אלה ובפני רוכשי הדירות בדבר מצבן של חברות חפציבה ופעילותן; עשיית שימוש בשליטתו בחברות חפציבה השונות תוך יצירת התחייבויות הדדיות ביניהן; ומשיכת כספים מהחברות הציבוריות ללא זכות כדין, תוך הפרת חובת אמון וללא קבלת האישורים הנדרשים על-פי דין לביצוע פעולות אלה.</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lang w:bidi="he-IL"/>
        </w:rPr>
      </w:pPr>
      <w:r>
        <w:rPr>
          <w:b/>
          <w:bCs/>
          <w:color w:val="000000"/>
          <w:sz w:val="26"/>
          <w:szCs w:val="26"/>
          <w:rtl/>
        </w:rPr>
        <w:t xml:space="preserve">3. </w:t>
      </w:r>
      <w:r>
        <w:rPr>
          <w:rFonts w:ascii="Times New Roman" w:hAnsi="Times New Roman" w:cs="David"/>
          <w:b/>
          <w:bCs/>
          <w:noProof/>
          <w:color w:val="000000"/>
          <w:sz w:val="26"/>
          <w:szCs w:val="26"/>
          <w:rtl/>
          <w:lang w:bidi="he-IL"/>
        </w:rPr>
        <w:t>כעולה מהאמור באישום הראשון, בתקופה הרלוונטית עסק הנאשם, באמצעות חברות חפציבה שבניהולו ובשליטתו, בייזום ובבניית עשרות פרויקטים קבלניים, אשר כללו אלפי דירות. על-פי הסכמי הליווי שנחתמו בין חברות חפציבה לבנקים המלווים, התחייבה חפציבה לפתוח חשבון עו"ש משועבד ומפוקח על-ידי הבנק המלווה, שבו יופקדו כל התקבולים מאותו פרויקט קבלני, וכן התחייבה חפציבה להשתמש בכספים שהופקדו בחשבון זה אך ורק לצורך ביצוע אותו פרויקט קבלני. על-פי הסכמי הליווי, חפציבה התחייבה ליתן לרוכשי הדירות בטוחה בהתאם לדרישות חוק המכר, בגין התשלומים על חשבון מחיר הדירה שהופקדו בחשבון הליווי. החתמת רוכשי הדירות על הסכמי המכר לוותה במצגים, לרבות בגוף ההסכמים, לפיהם: בניית הפרויקט הקבלני מבוצעת באמצעות ליווי בנקאי; החברה פתחה חשבון ליווי בבנק המלווה; כספי רוכשי הדירות יופקדו אך ורק בחשבון הליווי; וכנגד תשלומי הרוכשים על חשבון מחיר הדירה תינתן להם בטוחה, בהתאם לחוק המכר. על-פי הנחיות הנאשם, פעלו עובדי חפציבה כדי לקבל את כספי רוכשי הדירות באופן שיאפשר הפקדתם שלא בחשבון הליווי בלבד, לרבות קבלת שיקים בהם לא מצוין מספר חשבון הליווי בשורת הפקודה ושם החברה הקבלנית (להלן -"שיקים לא מסומנים") והעברת כספי המשכנתאות של רוכשי הדירות לחשבונות שאינם חשבונות הליווי. כמו כן, על-פי הנחיות הנאשם, פעלו עובדי חפציבה כדי לעשות שימוש בכספים שנתקבלו מרוכשי הדירות שלא למטרה לשמה הופקדו בידיהם, ובכלל זה הופקדו כספים אלה בחשבונות חברות שבשליטת הנאשם, בחשבונות אישיים של הנאשם ובחשבונות של בני משפחות של עובדי חפציבה. במעשים אלה - שליחת יד בכספי רוכשי הדירות המגיעים לכדי מיליוני שקלים - פגע הנאשם ברוכשי הדירות, בפרויקטים הקבלניים ובסיכויי השלמתם, והורשע בביצוע העבירות כדלקמן: קשר לביצוע פשע, עבירה לפי סעיף 499(א)(1) לחוק העונשין, התשל"ז-1977 (להלן - "חוק העונשין"); קשר להונות, עבירה לפי סעיף 440 לחוק העונשין; קבלת דבר במרמה בנסיבות מחמירות, עשרות עבירות בהיקף של מיליוני ₪ לפי סעיף 415 סיפא וסעיף 29 לחוק העונשין; גניבה בידי מורשה, מאות עבירות בהיקף של מאות מיליוני ₪ לפי סעיף 393(2), סעיף 383 וסעיף 29 לחוק העונשין.</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lang w:bidi="he-IL"/>
        </w:rPr>
      </w:pPr>
      <w:r>
        <w:rPr>
          <w:rFonts w:ascii="Times New Roman" w:hAnsi="Times New Roman" w:cs="David"/>
          <w:b/>
          <w:bCs/>
          <w:noProof/>
          <w:color w:val="000000"/>
          <w:sz w:val="26"/>
          <w:szCs w:val="26"/>
          <w:rtl/>
          <w:lang w:bidi="he-IL"/>
        </w:rPr>
        <w:t>4. כעולה מהאמור באישום השני, בתקופה הרלוונטית ניהלו הנאשם ועובדי חפציבה מערכת כפולה של תוכנה בשם "משכנת", המסייעת בניהול ובמעקב אחר מכירת הדירות בפרויקטים השונים, אחר הדירות שבמלאי ואחר התקבולים שהתקבלו ושעתידים להתקבל מרוכשי הדירות. הנאשם ועובדי חפציבה עשו כן על מנת להסוות אופן פעולתם, כמפורט באישום הראשון, מרוכשי הדירות, מהבנקים המלווים ומגורמים שונים נוספים. בהנחיית הנאשם ביצעו עובדי חפציבה, באופן שוטף ושיטתי, רישומים כוזבים, בין היתר, ביחס למספר הדירות שנמכרו בפרויקטים הקבלניים, למחירי הדירות עליהם סוכם עם רוכשי הדירות, ולהיקף התקבולים שהתקבלו מרוכשי הדירות, ושיקפו את הסכומים שהופקדו בפועל בחשבונות הליווי והיו נמוכים משמעותית מהיקף התקבולים האמיתי. בהתאם להנחיית הנאשם, הפיקו עובדי חפציבה, מעת לעת ועל-פי הצורך, דוחות כוזבים בהתאם לרישומים הכוזבים דלעיל. באמצעות הדוחות הכוזבים הציגו הנאשם ועובדי חפציבה מצגים כוזבים, בין היתר, לגבי מכירות הדירות או התקבולים מהרוכשים, במטרה לרמות. יתרה מזאת, במספר הזדמנויות במהלך התקופה הרלוונטית, חשדו בנקים מלווים כי דיווחיה של חפציבה אינם משקפים את מצבה האמיתי, ובמענה לדרישותיהם להעביר דיווח מדויק ומלא לגבי היקף המכירות והתקבולים מהפרויקט, נהגו עובדי חפציבה, על-פי הנחיית הנאשם, לערוך דוחות חדשים, בגדר רישומים כוזבים נוספים במשכנת הכפולה שאינם משקפים מצבה האמיתי של חפציבה. כמו כן, בהנחיית הנאשם, הזינו עובדי חפציבה נתונים כוזבים למערכת הנהלת החשבונות של חפציבה, אשר נמסרו לבנקים המלווים לבקשתם, בגדר מצגים כוזבים נוספים. בעשותם כאמור לעיל, רשמו הנאשם ועובדי חפציבה פרטים כוזבים במסמכי תאגיד - תוכנת המשכנת הכפולה, הדוחות שהופקו באמצעותה וכן מערכת הנהלת החשבונות - או נמנעו מלרשום בהם פרטים אשר היה עליהם לרשמם, בהיקף של מאות מליוני שקלים חדשים, בכוונה לרמות. כמו כן, בעשותם האמור לעיל, הבטיחו הנאשם ועובדי חפציבה, במרמה, קיום והמשך ליווי של הפרויקטים הקבלניים של חפציבה על-ידי הבנקים המלווים או המבטחים, לרבות בהיבט של העמדת אשראים לטובת המשך הפרויקטים הקבלניים ואחרים נוספים. כך גם פעלו הנאשם ועובדי חפציבה להרחבה, באופן ניכר ובמרמה, של היקף פעילותן העסקית של חברות חפציבה בארץ ובחו"ל. במעשיהם המתוארים פגעו הנאשם ועובדי חפציבה ביכולת הפיקוח של הבנקים המלווים וגורמים שונים נוספים להתנהל על-פי נתוני אמת ביחס לחשבונות הליווי, למצב הפרויקטים ולמצבה הפיננסי של החברה שבנתה את הפרויקט. בגין מעשים אלה הורשע הנאשם בביצוע העבירות כדלקמן: רישום כוזב במסמכי תאגיד, מאות עבירות לפי סעיף 423 וסעיף 29 לחוק העונשין; קבלת דבר במרמה בנסיבות מחמירות, עשרות עבירות לפי סעיף 415 סיפא וסעיף 29 לחוק העונשין.</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lang w:bidi="he-IL"/>
        </w:rPr>
      </w:pPr>
      <w:r>
        <w:rPr>
          <w:rFonts w:ascii="Times New Roman" w:hAnsi="Times New Roman" w:cs="David"/>
          <w:b/>
          <w:bCs/>
          <w:noProof/>
          <w:color w:val="000000"/>
          <w:sz w:val="26"/>
          <w:szCs w:val="26"/>
          <w:rtl/>
          <w:lang w:bidi="he-IL"/>
        </w:rPr>
        <w:t>5. האישום השלישי מגולל העבירות שביצע הנאשם בחברה הציבורית חפציבה ג'רוזלם גולד בע"מ (להלן - "ג'רוזלם"), במהלך החודשים נובמבר 2006 - יולי 2007, בשמשו בעל השליטה בה, מנהלהּ הכללי, יו"ר הדירקטוריון ובעל זכות חתימה לחיובהּ. כמפורט באישום זה, במהלך תקופה זו, בעשרות מועדים מעת לעת ובאופן שיטתי, שלח הנאשם יד בכספי ג'רוזלם, שהופקדו בידיו מתוקף תפקידיו בחברה, בניגוד להתחייבויות שבתשקיף החברה, תוך הפרת אמון וללא זכות שבדין, ובסך כולל של למעלה מ-70 מליון ₪, אשר לא הושב לקופת ג'רוזלם. הנאשם העביר כספים אלה מחשבון ג'רוזלם לשימושים שהוגדרו על-ידי הנאשם ובעיקר לחשבונות החברות הפרטיות שבשליטתו, שלא לשם קידום מטרת ג'רוזלם ותכליתה, מבלי שהחברה קיבלה תמורה ומבלי שניתנו לחברה ביטחונות בקשר עם משיכת כספים אלה. מתוך הסך של כ-70 מליון ₪, שלח הנאשם ידו במרמה בסכום של 40 מליון ₪ בנסיבות בהן הנחה את מנהל הכספים והמזכיר בג'רוזלם, רואה החשבון מרדכי נתנאל, לפרסם דוח מיידי, לפיו התקיימו כלל התנאים המתלים בהסכם שנחתם קודם לכן, שעניינו בניית יחידות דיור ושטחי מסחר במחוז קלוגה שברוסיה. בניגוד לדיווח האמור, בפועל לא התקיימו התנאים המתלים, הנאשם לא העביר את הסך האמור לביצוע העסקה, אלא השתמש בו לשימושו ובעיקר לשימוש החברות הפרטיות. במעשיו האמורים, גרם הנאשם להכללת פרטים מטעים בדוח מיידי, על מנת להטעות משקיע סביר, וכן הניח דעתם של נושאי משרה בג'רוזלם, במרמה, כי העסקה הושלמה, בניגוד למצב בפועל. בנוסף, נמנע הנאשם מנקיטת ההליכים כמתחייב על-פי הוראות חוק החברות, התשנ"ט-1999 (להלן - "חוק החברות"), ועל-פי הוראות חוק ניירות ערך, תשכ"ח-1968 (להלן - "חוק ניירות ערך") והתקנות שהותקנו מכוחו, על מנת להסתיר מדירקטוריון ג'רוזלם ומציבור המשקיעים את גניבות הכספים, כדי לאפשר המשך העברת הכספים, וכדי להטעות משקיע סביר. בנוסף הסווה הנאשם את משיכות הכספים מג'רוזלם מרואי החשבון ומציבור המשקיעים, בהעבירו בסמוך למועדי הביקורת ולמועד הקובע לדיווח, סכומי כסף שונים לג'רוזלם מהחברות הפרטיות, והעברת כספים אלה בחזרה לחברות הפרטיות לאחר המועד הקובע לדיווח. בכך, פעל הנאשם לאיפוס יתרות כרטיסי הנהלת החשבונות, תוך הצגת מצגים כוזבים לפני רואי החשבון והולכתם שולל, ומתוך מטרה לגרום להטעיה בדיווחים הכספיים ולקבל במרמה, בנסיבות מחמירות - לאור היקפן הכספי של העבירות, שילובן בעבירות חמורות נוספות, התחכום, השיטתיות, נסיבות ביצוען והקשרן - הנחת דעתם של רואי החשבון ביחס לדוחות הכספיים שהיה עליהם לבקר. במעשיו המתוארים באישום זה, הציג הנאשם מצג כוזב בפני רואי החשבון של ג'רוזלם, לפיו בעת עריכת המאזן אין יתרת חובה בקופת ג'רוזלם ולא התקיימו משיכות הכספים כאמור לעיל. באמצעות מצגים אלה הניח הנאשם דעתם של רואי החשבון, כי נתון זה משקף נכונה את מצב היתרות בג'רוזלם במהלך כל תקופת הדוח. בכך התאפשרה הגשת הדוחות ללא גילוי משיכות הכספים.  כמו כן, גרם הנאשם להכללת פרטים מטעים בדוח הכספי של ג'רוזלם לשנת 2006 ובדוח הרבעוני הראשון לשנת 2007, על מנת להטעות משקיע סביר ועל מנת להסתיר מציבור המשקיעים את גניבת הכספים דלעיל, את ההטבה הכספית שקיבלו הנאשם והחברות הפרטיות בחפציבה ואת העובדה שהניחו דעתם של רואי החשבון במרמה. ויוטעם, הפרטים הכוזבים והחסרים בדוחות עלולים להטעות משקיע סביר. בגין מעשים אלה הורשע הנאשם בביצוע העבירות כדלקמן: קבלת דבר במרמה בנסיבות מחמירות, שתי עבירות לפי סעיף 415 סיפא וסעיף 29 לחוק העונשין; אי קיום הוראות סעיף 36, שתי עבירות לפי סעיף 53(א)(4) לחוק ניירות ערך, ביחד עם תקנות ניירות ערך (עסקה בין חברה לבעל שליטה בה), התשס"א-2001 (להלן "תקנות בעלי שליטה") ותקנות ניירות ערך (דוחות מיידיים ותקופתיים), התש"ל-1970 (להלן - "תקנות דוחות מיידיים") וסעיף 29 לחוק העונשין; רישום כוזב במסמכי תאגיד, מאות עבירות לפי סעיף 423 וסעיף 29 לחוק העונשין; גניבה בידי מורשה, עבירה לפי סעיף 393, סעיף 383 וסעיף 29 לחוק העונשין. 6. האישום הרביעי מגולל העבירות שביצע הנאשם בתאגיד מדווח על-פי חוק ניירות ערך, חפציבה חופים בע"מ (להלן - "חופים"), במהלך החודשים פברואר 2006 - יולי 2007. החל מחודש אוגוסט 2005 ועד לחודש דצמבר 2006 ניהלו הנאשם וניסים סגרון בצוותא, כמנכ"לים משותפים, את חופים ובנוסף שימש הנאשם כיו"ר הדירקטוריון ובעל זכות חתימה יחיד לחיוב חופים. בחודש דצמבר 2006 מכר סגרון את כל אחזקותיו בחופים לנאשם. ממועד הנפקת אגרות חוב לציבור בחודש פברואר 2006, במסגרתה גייסה חופים כ-138 מיליון ₪, ועד לחודש יולי 2006, שלח הנאשם ידו בכספי חופים באופן קבוע ושיטתי, מעת לעת, בניגוד להתחייבויות שבפרק הראשון בתשקיף ותוך הפרת אמון, לשימושים שהוגדרו על-ידי הנאשם ובעיקר לשימוש החברות הפרטיות שבשליטתו, בהיקף של עשרות מיליוני שקלים חדשים. כך, בתקופה שבין ה-17.7.2006 לבין חודש יולי 2007, המשיך הנאשם לשלוח ידו בכספי חופים, באופן שיטתי וקבוע, לשימושים שהוגדרו על-ידו ובעיקר לשימושן של החברות הפרטיות שבשליטתו, מתוך כוונה לשלול הכספים שלילת קבע. דירקטוריון חופים, בראשו עמד הנאשם, אישר ביום 28.3.2007 ערבות של חופים להלוואת</w:t>
      </w:r>
      <w:r>
        <w:rPr>
          <w:rFonts w:ascii="Times New Roman" w:hAnsi="Times New Roman" w:cs="David"/>
          <w:b/>
          <w:bCs/>
          <w:noProof/>
          <w:color w:val="000000"/>
          <w:sz w:val="26"/>
          <w:szCs w:val="26"/>
          <w:lang w:bidi="he-IL"/>
        </w:rPr>
        <w:t xml:space="preserve"> back to back </w:t>
      </w:r>
      <w:r>
        <w:rPr>
          <w:rFonts w:ascii="Times New Roman" w:hAnsi="Times New Roman" w:cs="David"/>
          <w:b/>
          <w:bCs/>
          <w:noProof/>
          <w:color w:val="000000"/>
          <w:sz w:val="26"/>
          <w:szCs w:val="26"/>
          <w:rtl/>
          <w:lang w:bidi="he-IL"/>
        </w:rPr>
        <w:t xml:space="preserve">בסך של 46 מיליון ₪ שנטלה חברה פרטית של חפציבה מבנק לאומי. החלטה זו היתה מנוגדת לתשקיף שפורסם בחודש פברואר 2006, שכן חופים התחייבה בשטר הנאמנות כי כל עוד לא נפרעה יתרת אגרות החוב לא תבוצענה בינה לבין בעל השליטה בה עסקאות, לגביהן נדרש אישור האסיפה הכללית בחברות ציבוריות. בעשותו המעשים כאמור, נמנע הנאשם מנקיטת ההליכים כמתחייב על-פי הוראות חוק ניירות ערך והתקנות שהותקנו מכוחו, על מנת להסתיר מציבור המשקיעים את גניבות הכספים, על מנת לאפשר את המשכן וכדי להטעות משקיע סביר. הנאשם פעל תוך ניצול חופים ומעמדה לקידום אינטרסים פרטיים שלו, תוך פגיעה בתזרים המזומנים של חופים וביכולתה למלא את התחייבויותיה. יתרה מזאת, הנאשם פעל, בהיותו נושא משרה ובעל שליטה בחופים, להסוואת משיכות הכספים בהנהלת החשבונות של חופים בסך של כ-48 מיליון ₪. הנאשם ביקש להסתיר מרואי החשבון את משיכות הכספים בהנהלת החשבונות של חופים, כדי שהם לא ישקפו אותם בדוחות הכספיים, זאת באמצעות הלוואות בנקאיות למספר ימים ששועבדו לבנק המלווה וכן באמצעות העברות בנקאיות מהחברות הפרטיות של חפציבה, הכל לשם איפוס יתרות החובה שבכרטיסי הנהלת החשבונות של חופים. במעשים האמורים הציג הנאשם מצג כוזב בפני רואי החשבון של חופים ביחס ליתרת חובו כבעל שליטה וכמנהל בכיר בתאגיד, בניגוד למצב יתרת חובו בפועל, שהיתה בסכומים גבוהים במהלך כל תקופת הדוח. כמו כן, קיבל הנאשם במרמה, בנסיבות מחמירות, את הנחת דעתם של רואי החשבון ביחס לדוחות הכספיים שהיה על האחרונים לבקר או לסקור, לרבות זיוף מסמכים בכוונה לקבל דבר, בנסיבות מחמירות. בכך, גרם הנאשם להכללת פרטים מטעים בדוחות הרבעוניים של שנת 2006, בדוח הכספי לשנת 2006 ובדוח הרבעוני הראשון לשנת 2007, שהוגשו לבורסה ולרשות לניירות ערך, על מנת להסתיר מציבור המשקיעים את העברות הכספים דלעיל והעובדה כי הניח דעתם של רואי החשבון במרמה, התנהלות אשר היה בה גם כדי להטעות משקיע סביר. יצוין כי במהלך התקופה שבין חודש מאי 2006 לחודש מאי 2007 הוגשו לבורסה ולרשות לניירות ערך חמישה דוחות כספיים של חופים בחתימת הנאשם ונושאי משרה. בדוחות אלה לא נזכרו משיכות הכספים שבוצעו בחופים במהלך החודשים פברואר 2000 עד מאי 2007. בגין מעשים אלה הורשע הנאשם בביצוע העבירות כדלקמן: קבלת דבר במרמה בנסיבות מחמירות, ארבע עבירות לפי סעיף 415 סיפא וסעיף 29 לחוק העונשין; אי קיום הוראות סעיף 36, ארבע עבירות לפי סעיף 53(א)(4) לחוק ניירות ערך, ביחד עם תקנות בעלי שליטה ותקנות דוחות מיידיים וסעיף 29 לחוק העונשין; רישום כוזב במסמכי תאגיד, עבירות לפי סעיף 423 וסעיף 29 לחוק העונשין; זיוף מסמכים בכוונה לקבל באמצעותם דבר בנסיבות מחמירות, עבירה לפי סעיף 418 סיפא וסעיף 29 לחוק העונשין; שימוש במסמך מזויף, עבירות לפי סעיף 420 וסעיף 29 לחוק העונשין; גניבה בידי מורשה, עבירה לפי סעיף 393, סעיף 383 וסעיף 29 לחוק העונשין. 9. כעולה מהאמור באישום החמישי, במהלך השנים 2006-2007, בהוראת הנאשם, העבירה חופים, מעת לעת, תשלומים לקבלנים שביצעו עבודות בניה עבור חברות חפציבה בפרויקטים השונים שבניהולה. התשלומים לקבלנים המבצעים נעשו לא רק בגין שירותי בניה שאלה סיפקו לחופים, אלא גם עבור שירותי בניה אותם סיפקו הקבלנים המבצעים לחברות הפרטיות בחפציבה, בהיקף של עשרות מיליוני שקלים חדשים. במעשיו האמורים, נטל הנאשם במרמה, תוך הפרת אמון, כספים של חופים, בהם עשה שימוש, שלא כדין, לצרכי החברות הפרטיות שבשליטתו. </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lang w:bidi="he-IL"/>
        </w:rPr>
      </w:pPr>
      <w:r>
        <w:rPr>
          <w:rFonts w:ascii="Times New Roman" w:hAnsi="Times New Roman" w:cs="David"/>
          <w:b/>
          <w:bCs/>
          <w:noProof/>
          <w:color w:val="000000"/>
          <w:sz w:val="26"/>
          <w:szCs w:val="26"/>
          <w:rtl/>
          <w:lang w:bidi="he-IL"/>
        </w:rPr>
        <w:t>בגין מעשים אלה הורשע הנאשם בביצוע העבירות כדלקמן: גניבה בידי מנהל, עבירות לפי סעיף 392, סעיף 383 וסעיף 29 לחוק העונשין; אי קיום הוראות סעיף 36, עבירה לפי סעיף 53(א)(4) לחוק ניירות ערך, ביחד עם תקנות בעלי שליטה ותקנות דוחות מיידיים וסעיף 29 לחוק העונשין; רישום כוזב במסמכי תאגיד, עבירה לפי סעיף 423 וסעיף 29 לחוק העונשין.</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lang w:bidi="he-IL"/>
        </w:rPr>
      </w:pPr>
      <w:r>
        <w:rPr>
          <w:rFonts w:ascii="Times New Roman" w:hAnsi="Times New Roman" w:cs="David"/>
          <w:b/>
          <w:bCs/>
          <w:noProof/>
          <w:color w:val="000000"/>
          <w:sz w:val="26"/>
          <w:szCs w:val="26"/>
          <w:rtl/>
          <w:lang w:bidi="he-IL"/>
        </w:rPr>
        <w:t xml:space="preserve">10. כעולה מהאמור באישום השישי, על מנת לצמצם יתרות הקבלן המבצע, דניה סיבוס, בכרטיסי הנהלת החשבונות בחופים ובהמשך לאמור באישום החמישי, הפקיד הנאשם ביחד עם עובדי החברה, במישרין בחשבון דניה סיבוס, סך של 1,750,000 ₪ לסילוק חלק מחובות חופים לדניה סיבוס, באמצעות המחאות השייכות לחברות פרטיות של חפציבה, כמפורט בכתב האישום. במענה לבקשת דניה סיבוס לקבל לידה העתק ההמחאה המקורית כדי לשייך החוב לפרויקט ולחברה המתאימה מבין חברות חפציבה, הפיק הנאשם המחאה מזויפת בסך 1,750,000 ₪, כך שהיא נושאת את הלוגו וחשבון הבנק של חופים, הגם שהסכום לא שולם על-ידה. העתק ההמחאה הועבר לדניה סיבוס, אשר הנפיקה חשבונית לחופים. בכך השתמש הנאשם במסמך מזויף וקיבל במרמה בנסיבות מחמירות - לאור היקפן הכספי של העבירות, שילובן בעבירות חמורות נוספות,  נסיבות ביצוע העבירות והקשרן והתחכום שבביצוען - את הנחת הדעת של דניה סיבוס, כי חופים היא ששילמה בגין שירותי הבניה לדניה סיבוס. בגין מעשים אלה הורשע הנאשם בביצוע העבירות כדלקמן: זיוף מסמך בכוונה לקבל באמצעותו דבר בנסיבות מחמירות, עבירה לפי סעיף 418 סיפא וסעיף 29 לחוק העונשין; שימוש במסמך מזויף, עבירה לפי סעיף 420 וסעיף 29 לחוק העונשין; קבלת דבר במרמה בנסיבות מחמירות, עבירה לפי סעיף 415 סיפא וסעיף 29 לחוק העונשין. </w:t>
      </w:r>
    </w:p>
    <w:p w:rsidR="00214F7B" w:rsidRDefault="00214F7B" w:rsidP="003456D4">
      <w:pPr>
        <w:pStyle w:val="af1"/>
        <w:bidi/>
        <w:spacing w:after="360" w:line="360" w:lineRule="auto"/>
        <w:ind w:left="941" w:right="709"/>
        <w:jc w:val="both"/>
        <w:rPr>
          <w:rFonts w:ascii="Times New Roman" w:hAnsi="Times New Roman" w:cs="David"/>
          <w:b/>
          <w:bCs/>
          <w:noProof/>
          <w:color w:val="000000"/>
          <w:sz w:val="26"/>
          <w:szCs w:val="26"/>
          <w:rtl/>
          <w:lang w:bidi="he-IL"/>
        </w:rPr>
      </w:pPr>
      <w:r>
        <w:rPr>
          <w:rFonts w:ascii="Times New Roman" w:hAnsi="Times New Roman" w:cs="David"/>
          <w:b/>
          <w:bCs/>
          <w:noProof/>
          <w:color w:val="000000"/>
          <w:sz w:val="26"/>
          <w:szCs w:val="26"/>
          <w:rtl/>
          <w:lang w:bidi="he-IL"/>
        </w:rPr>
        <w:t xml:space="preserve">11. כעולה מהאמור באישום השביעי, במהלך התקופה הרלוונטית, כמפורט באישומים הראשון עד הרביעי, קיבלו הנאשם ועובדי חפציבה, כספים של רוכשי הדירות בפרויקטים קבלניים וכספים נוספים, וכן כספים שהועברו מחברות ג'רוזלם וחופים, באמצעות ביצוע עבירות גניבה, מרמה ורישום כוזב במסמכי תאגיד. כנטען באישום זה, עבירות אלה מהוות עבירות מקור, כהגדרתן בחוק איסור הלבנת הון, התש"ס-2000 (להלן - "חוק איסור הלבנת הון"). במהלך השנים 2000-2007 ביצע הנאשם פעולות בכספים דלעיל, שהינם בגדר רכוש אסור, כהגדרתו בסעיף 3 לחוק איסור הלבנת הון, בין היתר: שיקים שהתקבלו מרוכשי דירות נמסרו לניכיון אצל גורמים שונים; כספים שהתקבלו מרוכשי דירות הופקדו בחשבונות חברות פרטיות שונות בבעלות הנאשם או בשליטתו וכתוצאה מכך לא הוצאו בטוחות על-פי חוק המכר; בכספים שהתקבלו מרוכשי דירות נעשו פעולות שונות נוספות, לרבות העברתם לחשבונות פרטיים של עובדי חפציבה וקרוביהם והפקדתם בחשבונות הליווי תוך תשלום עמלה לעובדים, תוך הצגת מצגים כוזבים כלפי בנקים מלווים, לפיהם מדובר בשיקים שנתקבלו ישירות מרוכשים פרטיים. בגין מעשים אלה הורשע הנאשם בביצוע עבירות של עשיית פעולה ברכוש אסור, מאות עבירות לפי סעיף 4 לחוק איסור הלבנת הון (מאות פעולות). </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lang w:bidi="he-IL"/>
        </w:rPr>
      </w:pPr>
      <w:r>
        <w:rPr>
          <w:rFonts w:ascii="Times New Roman" w:hAnsi="Times New Roman" w:cs="David"/>
          <w:b/>
          <w:bCs/>
          <w:noProof/>
          <w:color w:val="000000"/>
          <w:sz w:val="26"/>
          <w:szCs w:val="26"/>
          <w:rtl/>
          <w:lang w:bidi="he-IL"/>
        </w:rPr>
        <w:t>12. כעולה מהאמור באישום השמיני, עובר למועד מתן צו כינוס על נכסי הנאשם ביום 20.12.2007 על-ידי בית המשפט המחוזי בירושלים ומתן צו כינוס על נכסי אשת הנאשם, גב' תמר יונה, לאחר שנקבע כי נעשה מעשה פשיטת רגל לפי סעיף 5(2) לפקודת פשיטת הרגל [נוסח חדש], תש"ם-1980 (להלן - "פקודת פשיטת הרגל"), ביצע הנאשם פעולות שנועדו לסלק או להעלים נכסיהם במרמה, אשר צריכים היו לפי הדין להתחלק בין נושיו, ובין היתר: ביום 30.7.2007, טרם הימלטות הנאשם מהארץ (ביום 31.7.2007), הורה הנאשם למשוך מחשבון הבנק שלו בסניף בל"ל ברומניה סכום מזומן של 5,000 אירו. בהתאם להנחיית הנאשם, הכסף נמשך והועבר אליו. למחרת משך הנאשם את יתרת הכספים שהיו בחשבון דלעיל, בסך של כ-10,000 אירו וכ-10,000 דולר אמריקאי. כמו כן, ביום 30.7.2007, טרם הימלטות הנאשם מהארץ, חתם הנאשם על שיקים שנמשכו ממספר חשבונות בנק פרטיים שלו, בסך כולל של כ-347,000 ₪. הנאשם הורה למשוך באמצעותם את יתרת הכספים שהיתה בחשבונות האמורים ולהעבירה אליו. בהתאם להנחיית הנאשם, הכספים נמשכו והועברו אליו. בנוסף, ביום 1.8.2007 הורה הנאשם בהיותו מחוץ לישראל, ליטול ממחלקת הגביה של חפציבה שיקים לא מסומנים, להמירם למזומן ולהעביר את הכספים אליו. בהתאם להנחיית הנאשם, ניטלו ארבעה שיקים לא מסומנים בסך כולל של כ-103,000 ₪, הומרו למזומן, ונעשה בו שימוש. יתרה מזאת, במהלך חודש אוגוסט 2007 תיאם הנאשם, ביחד עם אחרים ובסיועם, את סילוק רכבה של תמר, ואף החלו בפעולות ממשיות לביצוע מזימתם. הרכב נתפס על-ידי משטרת ישראל נהוג בידי עוזרו האישי של הנאשם. בגין מעשים אלה הורשע הנאשם בביצוע העבירות כדלקמן: הברחת נכסים, עבירות לפי סעיף 216(5) לפקודת פשיטת הרגל, יחד עם סעיף 29 לחוק העונשין; בריחה עם נכסים, עבירות לפי סעיף 222 לפקודת פשיטת הרגל, יחד עם סעיף 29 לחוק העונשין; גניבה בידי מורשה, עבירה לפי סעיף 393(2), סעיף 383 וסעיף 29 לחוק העונשין, בהיקף של כ-103,000 ₪;</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lang w:bidi="he-IL"/>
        </w:rPr>
      </w:pPr>
      <w:r>
        <w:rPr>
          <w:rFonts w:ascii="Times New Roman" w:hAnsi="Times New Roman" w:cs="David"/>
          <w:b/>
          <w:bCs/>
          <w:noProof/>
          <w:color w:val="000000"/>
          <w:sz w:val="26"/>
          <w:szCs w:val="26"/>
          <w:rtl/>
          <w:lang w:bidi="he-IL"/>
        </w:rPr>
        <w:t xml:space="preserve">13. כעולה מהאמור באישום התשיעי, כמתואר לעיל, ייזום ובניית הפרויקטים הקבלניים נעשתה בחברות חפציבה בעיקר תוך הסתייעות בליווי בנקאי. בתקופה הרלוונטית גנבו הנאשם ועובדי חפציבה כספים בהיקפים גדולים מקופות ג'רוזלם וחופים, פעלו בדרכים שונות להסוות זאת, וביצעו עבירות שונות נוספות בחברות אלה. בכך, הביאו הנאשם ועובדי חפציבה, בין היתר, לצמצום יתרת המזומנים וההון של החברות ולפגיעה ביכולתם הכלכלית של התאגידים לקיים את התחייבויותיהם. במעשיהם המפורטים בכתב האישום, עשו הנאשם ועובדי חפציבה, ביודעין, בעסקי התאגידים דברים בדרך הפוגעת בניהול התקין של עסקיהם, וכן נהגו אגב מילוי תפקידם במרמה או בהפרת אמונים הפוגעת בתאגיד. בגין מעשים אלה הורשע הנאשם בביצוע העבירות כדלקמן: עבירות מנהלים בתאגיד, עבירות לפי סעיף 424(1), סעיף 424(2) וסעיף 29 לחוק העונשין; מרמה והפרת אמונים בתאגיד, עבירות לפי סעיף 425 וסעיף 29 לחוק העונשין.   </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lang w:bidi="he-IL"/>
        </w:rPr>
      </w:pPr>
      <w:r>
        <w:rPr>
          <w:rFonts w:ascii="Times New Roman" w:hAnsi="Times New Roman" w:cs="David"/>
          <w:b/>
          <w:bCs/>
          <w:noProof/>
          <w:color w:val="000000"/>
          <w:sz w:val="26"/>
          <w:szCs w:val="26"/>
          <w:rtl/>
          <w:lang w:bidi="he-IL"/>
        </w:rPr>
        <w:t>הסדר הטיעון</w:t>
      </w:r>
    </w:p>
    <w:p w:rsidR="00214F7B" w:rsidRDefault="00214F7B" w:rsidP="00214F7B">
      <w:pPr>
        <w:pStyle w:val="af1"/>
        <w:bidi/>
        <w:spacing w:after="360" w:line="360" w:lineRule="auto"/>
        <w:ind w:left="941" w:right="709"/>
        <w:jc w:val="both"/>
        <w:rPr>
          <w:rFonts w:ascii="David" w:hAnsi="David" w:cs="David"/>
          <w:b/>
          <w:bCs/>
          <w:sz w:val="26"/>
          <w:szCs w:val="26"/>
          <w:rtl/>
        </w:rPr>
      </w:pPr>
      <w:r>
        <w:rPr>
          <w:rFonts w:ascii="Times New Roman" w:hAnsi="Times New Roman" w:cs="David"/>
          <w:b/>
          <w:bCs/>
          <w:noProof/>
          <w:color w:val="000000"/>
          <w:sz w:val="26"/>
          <w:szCs w:val="26"/>
          <w:rtl/>
          <w:lang w:bidi="he-IL"/>
        </w:rPr>
        <w:t>14. ביום 21.7.2008 הודיעו באי-כוח הצדדים, כי הגיעו להסדר טיעון שעיקריו, כדלקמן: הנאשם יודה בעבירות המיוחסות לו בכתב האישום כמפורט לעיל; הצדדים יעתרו לעונש של 7 שנות מאסר בפועל, מהן ינוכו תקופות המעצר בהן היה נתון הנאשם, וכן לעונש של מאסר על תנאי על-פי שיקול דעת בית המשפט; הנאשם ישלם פיצוי לרוכשי הדירות שנפגעו בסך של 4 מיליון ₪ מכספים שגויסו ממקורבים ואינם מכספים הקשורים, במישרין או בעקיפין, בנכסיו של הנאשם או בנכסי החברות הנמצאות בהקפאה; יבוטל רישומו של הנאשם, לצמיתות, מפנקס הקבלנים לעבודות הנדסה בנאיות, המנוהל לפי חוק רישום קבלנים לעבודות הנדסה בנאיות, תשכ"ט-1969</w:t>
      </w:r>
      <w:r>
        <w:rPr>
          <w:rFonts w:ascii="Times New Roman" w:hAnsi="Times New Roman" w:cs="David"/>
          <w:b/>
          <w:bCs/>
          <w:noProof/>
          <w:color w:val="000000"/>
          <w:sz w:val="26"/>
          <w:szCs w:val="26"/>
          <w:lang w:bidi="he-IL"/>
        </w:rPr>
        <w:t>."</w:t>
      </w:r>
    </w:p>
    <w:p w:rsidR="00214F7B" w:rsidRDefault="00214F7B" w:rsidP="00214F7B">
      <w:pPr>
        <w:pStyle w:val="af1"/>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זמן קצר קודם ל</w:t>
      </w:r>
      <w:r w:rsidR="00805068">
        <w:rPr>
          <w:rFonts w:ascii="David" w:hAnsi="David" w:cs="David" w:hint="cs"/>
          <w:sz w:val="26"/>
          <w:szCs w:val="26"/>
          <w:rtl/>
          <w:lang w:bidi="he-IL"/>
        </w:rPr>
        <w:t xml:space="preserve">מתן </w:t>
      </w:r>
      <w:r>
        <w:rPr>
          <w:rFonts w:ascii="David" w:hAnsi="David" w:cs="David"/>
          <w:sz w:val="26"/>
          <w:szCs w:val="26"/>
          <w:rtl/>
          <w:lang w:bidi="he-IL"/>
        </w:rPr>
        <w:t>פסק הדין בבית המשפט העליון בערעור על גזר הדין</w:t>
      </w:r>
      <w:r>
        <w:rPr>
          <w:rFonts w:ascii="David" w:hAnsi="David" w:cs="Times New Roman"/>
          <w:sz w:val="26"/>
          <w:szCs w:val="26"/>
          <w:rtl/>
        </w:rPr>
        <w:t xml:space="preserve">, </w:t>
      </w:r>
      <w:r>
        <w:rPr>
          <w:rFonts w:ascii="David" w:hAnsi="David" w:cs="David"/>
          <w:sz w:val="26"/>
          <w:szCs w:val="26"/>
          <w:rtl/>
          <w:lang w:bidi="he-IL"/>
        </w:rPr>
        <w:t xml:space="preserve">בחודש מאי </w:t>
      </w:r>
      <w:r>
        <w:rPr>
          <w:rFonts w:ascii="David" w:hAnsi="David" w:cs="Times New Roman"/>
          <w:sz w:val="26"/>
          <w:szCs w:val="26"/>
          <w:rtl/>
        </w:rPr>
        <w:t xml:space="preserve">2011, </w:t>
      </w:r>
      <w:r>
        <w:rPr>
          <w:rFonts w:ascii="David" w:hAnsi="David" w:cs="David"/>
          <w:sz w:val="26"/>
          <w:szCs w:val="26"/>
          <w:rtl/>
          <w:lang w:bidi="he-IL"/>
        </w:rPr>
        <w:t>נפטר מרדכי יונה ז"ל</w:t>
      </w:r>
      <w:r>
        <w:rPr>
          <w:rFonts w:ascii="David" w:hAnsi="David" w:cs="Times New Roman"/>
          <w:sz w:val="26"/>
          <w:szCs w:val="26"/>
          <w:rtl/>
        </w:rPr>
        <w:t>.</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במסגרת ההליכים בעניינה של קבוצת חפציבה הוצא צו הקפאת הליכים נגד החברות ובהמשך לכך אף ניתן צו פירוק</w:t>
      </w:r>
      <w:r>
        <w:rPr>
          <w:rFonts w:ascii="David" w:hAnsi="David" w:cs="Times New Roman"/>
          <w:sz w:val="26"/>
          <w:szCs w:val="26"/>
          <w:rtl/>
        </w:rPr>
        <w:t xml:space="preserve">; </w:t>
      </w:r>
      <w:r>
        <w:rPr>
          <w:rFonts w:ascii="David" w:hAnsi="David" w:cs="David"/>
          <w:sz w:val="26"/>
          <w:szCs w:val="26"/>
          <w:rtl/>
          <w:lang w:bidi="he-IL"/>
        </w:rPr>
        <w:t xml:space="preserve">הכונס הרשמי מונה כנאמן זמני ובהמשך כמפרק </w:t>
      </w:r>
      <w:r>
        <w:rPr>
          <w:rFonts w:ascii="David" w:hAnsi="David" w:cs="Times New Roman"/>
          <w:sz w:val="26"/>
          <w:szCs w:val="26"/>
          <w:rtl/>
        </w:rPr>
        <w:t>(</w:t>
      </w:r>
      <w:r>
        <w:rPr>
          <w:rFonts w:ascii="David" w:hAnsi="David" w:cs="David"/>
          <w:sz w:val="26"/>
          <w:szCs w:val="26"/>
          <w:rtl/>
          <w:lang w:bidi="he-IL"/>
        </w:rPr>
        <w:t>להלן</w:t>
      </w:r>
      <w:r>
        <w:rPr>
          <w:rFonts w:ascii="David" w:hAnsi="David" w:cs="Times New Roman"/>
          <w:sz w:val="26"/>
          <w:szCs w:val="26"/>
          <w:rtl/>
        </w:rPr>
        <w:t xml:space="preserve">: </w:t>
      </w:r>
      <w:r>
        <w:rPr>
          <w:rFonts w:ascii="David" w:hAnsi="David" w:cs="David"/>
          <w:sz w:val="26"/>
          <w:szCs w:val="26"/>
          <w:rtl/>
          <w:lang w:bidi="he-IL"/>
        </w:rPr>
        <w:t>"</w:t>
      </w:r>
      <w:r>
        <w:rPr>
          <w:rFonts w:ascii="David" w:hAnsi="David" w:cs="David"/>
          <w:bCs/>
          <w:sz w:val="26"/>
          <w:szCs w:val="26"/>
          <w:rtl/>
          <w:lang w:bidi="he-IL"/>
        </w:rPr>
        <w:t>הכונס</w:t>
      </w:r>
      <w:r>
        <w:rPr>
          <w:rFonts w:ascii="David" w:hAnsi="David" w:cs="David"/>
          <w:sz w:val="26"/>
          <w:szCs w:val="26"/>
          <w:rtl/>
          <w:lang w:bidi="he-IL"/>
        </w:rPr>
        <w:t>"</w:t>
      </w:r>
      <w:r>
        <w:rPr>
          <w:rFonts w:ascii="David" w:hAnsi="David" w:cs="Times New Roman"/>
          <w:sz w:val="26"/>
          <w:szCs w:val="26"/>
          <w:rtl/>
        </w:rPr>
        <w:t xml:space="preserve">); </w:t>
      </w:r>
      <w:r>
        <w:rPr>
          <w:rFonts w:ascii="David" w:hAnsi="David" w:cs="David"/>
          <w:sz w:val="26"/>
          <w:szCs w:val="26"/>
          <w:rtl/>
          <w:lang w:bidi="he-IL"/>
        </w:rPr>
        <w:t>ועו</w:t>
      </w:r>
      <w:r>
        <w:rPr>
          <w:rFonts w:ascii="David" w:hAnsi="David" w:cs="Times New Roman"/>
          <w:sz w:val="26"/>
          <w:szCs w:val="26"/>
          <w:rtl/>
        </w:rPr>
        <w:t>"</w:t>
      </w:r>
      <w:r>
        <w:rPr>
          <w:rFonts w:ascii="David" w:hAnsi="David" w:cs="David"/>
          <w:sz w:val="26"/>
          <w:szCs w:val="26"/>
          <w:rtl/>
          <w:lang w:bidi="he-IL"/>
        </w:rPr>
        <w:t xml:space="preserve">ד יצחק מולכו מונה כמנהל מיוחד מטעמו של הכונס </w:t>
      </w:r>
      <w:r>
        <w:rPr>
          <w:rFonts w:ascii="David" w:hAnsi="David" w:cs="Times New Roman"/>
          <w:sz w:val="26"/>
          <w:szCs w:val="26"/>
          <w:rtl/>
        </w:rPr>
        <w:t>(</w:t>
      </w:r>
      <w:r>
        <w:rPr>
          <w:rFonts w:ascii="David" w:hAnsi="David" w:cs="David"/>
          <w:sz w:val="26"/>
          <w:szCs w:val="26"/>
          <w:rtl/>
          <w:lang w:bidi="he-IL"/>
        </w:rPr>
        <w:t>להלן</w:t>
      </w:r>
      <w:r>
        <w:rPr>
          <w:rFonts w:ascii="David" w:hAnsi="David" w:cs="Times New Roman"/>
          <w:sz w:val="26"/>
          <w:szCs w:val="26"/>
          <w:rtl/>
        </w:rPr>
        <w:t xml:space="preserve">: </w:t>
      </w:r>
      <w:r>
        <w:rPr>
          <w:rFonts w:ascii="David" w:hAnsi="David" w:cs="David"/>
          <w:sz w:val="26"/>
          <w:szCs w:val="26"/>
          <w:rtl/>
          <w:lang w:bidi="he-IL"/>
        </w:rPr>
        <w:t>"</w:t>
      </w:r>
      <w:r>
        <w:rPr>
          <w:rFonts w:ascii="David" w:hAnsi="David" w:cs="David"/>
          <w:b/>
          <w:bCs/>
          <w:sz w:val="26"/>
          <w:szCs w:val="26"/>
          <w:rtl/>
          <w:lang w:bidi="he-IL"/>
        </w:rPr>
        <w:t>המנהל</w:t>
      </w:r>
      <w:r>
        <w:rPr>
          <w:rFonts w:ascii="David" w:hAnsi="David" w:cs="David"/>
          <w:sz w:val="26"/>
          <w:szCs w:val="26"/>
          <w:rtl/>
          <w:lang w:bidi="he-IL"/>
        </w:rPr>
        <w:t xml:space="preserve"> </w:t>
      </w:r>
      <w:r>
        <w:rPr>
          <w:rFonts w:ascii="David" w:hAnsi="David" w:cs="David"/>
          <w:b/>
          <w:bCs/>
          <w:sz w:val="26"/>
          <w:szCs w:val="26"/>
          <w:rtl/>
          <w:lang w:bidi="he-IL"/>
        </w:rPr>
        <w:t>המיוחד"</w:t>
      </w:r>
      <w:r>
        <w:rPr>
          <w:rFonts w:ascii="David" w:hAnsi="David" w:cs="Times New Roman"/>
          <w:sz w:val="26"/>
          <w:szCs w:val="26"/>
          <w:rtl/>
        </w:rPr>
        <w:t>). (</w:t>
      </w:r>
      <w:r>
        <w:rPr>
          <w:rFonts w:ascii="David" w:hAnsi="David" w:cs="David"/>
          <w:sz w:val="26"/>
          <w:szCs w:val="26"/>
          <w:rtl/>
          <w:lang w:bidi="he-IL"/>
        </w:rPr>
        <w:t>תיאור זה מבוסס על פסק הדין בע</w:t>
      </w:r>
      <w:r>
        <w:rPr>
          <w:rFonts w:ascii="David" w:hAnsi="David" w:cs="Times New Roman"/>
          <w:sz w:val="26"/>
          <w:szCs w:val="26"/>
          <w:rtl/>
        </w:rPr>
        <w:t>"</w:t>
      </w:r>
      <w:r>
        <w:rPr>
          <w:rFonts w:ascii="David" w:hAnsi="David" w:cs="David"/>
          <w:sz w:val="26"/>
          <w:szCs w:val="26"/>
          <w:rtl/>
          <w:lang w:bidi="he-IL"/>
        </w:rPr>
        <w:t>א 7594/16</w:t>
      </w:r>
      <w:r>
        <w:rPr>
          <w:rFonts w:ascii="David" w:hAnsi="David" w:cs="David"/>
          <w:b/>
          <w:bCs/>
          <w:sz w:val="26"/>
          <w:szCs w:val="26"/>
          <w:rtl/>
          <w:lang w:bidi="he-IL"/>
        </w:rPr>
        <w:t xml:space="preserve"> עו</w:t>
      </w:r>
      <w:r>
        <w:rPr>
          <w:rFonts w:ascii="David" w:hAnsi="David" w:cs="Times New Roman"/>
          <w:b/>
          <w:bCs/>
          <w:sz w:val="26"/>
          <w:szCs w:val="26"/>
          <w:rtl/>
        </w:rPr>
        <w:t>"</w:t>
      </w:r>
      <w:r>
        <w:rPr>
          <w:rFonts w:ascii="David" w:hAnsi="David" w:cs="David"/>
          <w:b/>
          <w:bCs/>
          <w:sz w:val="26"/>
          <w:szCs w:val="26"/>
          <w:rtl/>
          <w:lang w:bidi="he-IL"/>
        </w:rPr>
        <w:t>ד יצחק מולכו</w:t>
      </w:r>
      <w:r>
        <w:rPr>
          <w:rFonts w:ascii="David" w:hAnsi="David" w:cs="Times New Roman"/>
          <w:b/>
          <w:bCs/>
          <w:sz w:val="26"/>
          <w:szCs w:val="26"/>
          <w:rtl/>
        </w:rPr>
        <w:t xml:space="preserve">, </w:t>
      </w:r>
      <w:r>
        <w:rPr>
          <w:rFonts w:ascii="David" w:hAnsi="David" w:cs="David"/>
          <w:b/>
          <w:bCs/>
          <w:sz w:val="26"/>
          <w:szCs w:val="26"/>
          <w:rtl/>
          <w:lang w:bidi="he-IL"/>
        </w:rPr>
        <w:t>המנהל המיוחד נ</w:t>
      </w:r>
      <w:r>
        <w:rPr>
          <w:rFonts w:ascii="David" w:hAnsi="David" w:cs="Times New Roman"/>
          <w:b/>
          <w:bCs/>
          <w:sz w:val="26"/>
          <w:szCs w:val="26"/>
          <w:rtl/>
        </w:rPr>
        <w:t xml:space="preserve">' </w:t>
      </w:r>
      <w:r>
        <w:rPr>
          <w:rFonts w:ascii="David" w:hAnsi="David" w:cs="David"/>
          <w:b/>
          <w:bCs/>
          <w:sz w:val="26"/>
          <w:szCs w:val="26"/>
          <w:rtl/>
          <w:lang w:bidi="he-IL"/>
        </w:rPr>
        <w:t>בנק מזרחי טפחות בע</w:t>
      </w:r>
      <w:r>
        <w:rPr>
          <w:rFonts w:ascii="David" w:hAnsi="David" w:cs="Times New Roman"/>
          <w:b/>
          <w:bCs/>
          <w:sz w:val="26"/>
          <w:szCs w:val="26"/>
          <w:rtl/>
        </w:rPr>
        <w:t>"</w:t>
      </w:r>
      <w:r>
        <w:rPr>
          <w:rFonts w:ascii="David" w:hAnsi="David" w:cs="David"/>
          <w:b/>
          <w:bCs/>
          <w:sz w:val="26"/>
          <w:szCs w:val="26"/>
          <w:rtl/>
          <w:lang w:bidi="he-IL"/>
        </w:rPr>
        <w:t>מ</w:t>
      </w:r>
      <w:r>
        <w:rPr>
          <w:rFonts w:ascii="David" w:hAnsi="David" w:cs="Times New Roman"/>
          <w:sz w:val="26"/>
          <w:szCs w:val="26"/>
          <w:rtl/>
        </w:rPr>
        <w:t xml:space="preserve"> (25.3.21) </w:t>
      </w:r>
      <w:r>
        <w:rPr>
          <w:rFonts w:ascii="David" w:hAnsi="David" w:cs="David"/>
          <w:sz w:val="26"/>
          <w:szCs w:val="26"/>
          <w:rtl/>
          <w:lang w:bidi="he-IL"/>
        </w:rPr>
        <w:t xml:space="preserve">בפסקה </w:t>
      </w:r>
      <w:r>
        <w:rPr>
          <w:rFonts w:ascii="David" w:hAnsi="David" w:cs="Times New Roman"/>
          <w:sz w:val="26"/>
          <w:szCs w:val="26"/>
          <w:rtl/>
        </w:rPr>
        <w:t>2).</w:t>
      </w:r>
    </w:p>
    <w:p w:rsidR="00214F7B" w:rsidRDefault="00214F7B" w:rsidP="00214F7B">
      <w:pPr>
        <w:pStyle w:val="af1"/>
        <w:bidi/>
        <w:spacing w:after="360" w:line="360" w:lineRule="auto"/>
        <w:ind w:left="509"/>
        <w:jc w:val="both"/>
        <w:rPr>
          <w:rFonts w:ascii="David" w:hAnsi="David"/>
          <w:sz w:val="26"/>
          <w:szCs w:val="26"/>
          <w:rtl/>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במקביל להליך הפירוק והכינוס של החברות</w:t>
      </w:r>
      <w:r>
        <w:rPr>
          <w:rFonts w:ascii="David" w:hAnsi="David" w:cs="Times New Roman"/>
          <w:sz w:val="26"/>
          <w:szCs w:val="26"/>
          <w:rtl/>
        </w:rPr>
        <w:t xml:space="preserve">, </w:t>
      </w:r>
      <w:r>
        <w:rPr>
          <w:rFonts w:ascii="David" w:hAnsi="David" w:cs="David"/>
          <w:sz w:val="26"/>
          <w:szCs w:val="26"/>
          <w:rtl/>
          <w:lang w:bidi="he-IL"/>
        </w:rPr>
        <w:t xml:space="preserve">ניתן ביום </w:t>
      </w:r>
      <w:r>
        <w:rPr>
          <w:rFonts w:ascii="David" w:hAnsi="David" w:cs="Times New Roman"/>
          <w:sz w:val="26"/>
          <w:szCs w:val="26"/>
          <w:rtl/>
        </w:rPr>
        <w:t xml:space="preserve">24.12.2007 </w:t>
      </w:r>
      <w:r>
        <w:rPr>
          <w:rFonts w:ascii="David" w:hAnsi="David" w:cs="David"/>
          <w:sz w:val="26"/>
          <w:szCs w:val="26"/>
          <w:rtl/>
          <w:lang w:bidi="he-IL"/>
        </w:rPr>
        <w:t xml:space="preserve">כנגד החייב צו כינוס נכסים, מונה המנהל המיוחד הנ"ל וביום </w:t>
      </w:r>
      <w:r>
        <w:rPr>
          <w:rFonts w:ascii="David" w:hAnsi="David" w:cs="Times New Roman"/>
          <w:sz w:val="26"/>
          <w:szCs w:val="26"/>
          <w:rtl/>
        </w:rPr>
        <w:t xml:space="preserve">8.1.2009 </w:t>
      </w:r>
      <w:r>
        <w:rPr>
          <w:rFonts w:ascii="David" w:hAnsi="David" w:cs="David"/>
          <w:sz w:val="26"/>
          <w:szCs w:val="26"/>
          <w:rtl/>
          <w:lang w:bidi="he-IL"/>
        </w:rPr>
        <w:t>ניתן כנגד החייב צו פשיטת רגל</w:t>
      </w:r>
      <w:r>
        <w:rPr>
          <w:rFonts w:ascii="David" w:hAnsi="David" w:cs="Times New Roman"/>
          <w:sz w:val="26"/>
          <w:szCs w:val="26"/>
          <w:rtl/>
        </w:rPr>
        <w:t xml:space="preserve">. </w:t>
      </w:r>
    </w:p>
    <w:p w:rsidR="00214F7B" w:rsidRDefault="00214F7B" w:rsidP="00214F7B">
      <w:pPr>
        <w:pStyle w:val="af1"/>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 xml:space="preserve">במסגרת פסק הדין שניתן בבית משפט זה (כב' השופט בדימוס י' צבן) בע"ר (י-ם) 313/10 </w:t>
      </w:r>
      <w:r>
        <w:rPr>
          <w:rFonts w:ascii="David" w:hAnsi="David" w:cs="David"/>
          <w:bCs/>
          <w:sz w:val="26"/>
          <w:szCs w:val="26"/>
          <w:rtl/>
          <w:lang w:bidi="he-IL"/>
        </w:rPr>
        <w:t>בועז יונה נ' הכונס הנכסים הרשמי</w:t>
      </w:r>
      <w:r>
        <w:rPr>
          <w:rFonts w:ascii="David" w:hAnsi="David" w:cs="David"/>
          <w:sz w:val="26"/>
          <w:szCs w:val="26"/>
          <w:rtl/>
          <w:lang w:bidi="he-IL"/>
        </w:rPr>
        <w:t xml:space="preserve"> (1.12.10) נקבעו, בין היתר, הדברים הבאים הרלוונטיים לענייננו:</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rPr>
      </w:pPr>
      <w:r>
        <w:rPr>
          <w:color w:val="000000"/>
          <w:sz w:val="26"/>
          <w:szCs w:val="26"/>
          <w:rtl/>
        </w:rPr>
        <w:t>"</w:t>
      </w:r>
      <w:r>
        <w:rPr>
          <w:rFonts w:ascii="Times New Roman" w:hAnsi="Times New Roman" w:cs="Times New Roman"/>
          <w:b/>
          <w:bCs/>
          <w:noProof/>
          <w:color w:val="000000"/>
          <w:sz w:val="26"/>
          <w:szCs w:val="26"/>
          <w:rtl/>
        </w:rPr>
        <w:t>7.</w:t>
      </w:r>
      <w:r>
        <w:rPr>
          <w:rFonts w:ascii="Times New Roman" w:hAnsi="Times New Roman" w:cs="David"/>
          <w:b/>
          <w:bCs/>
          <w:noProof/>
          <w:color w:val="000000"/>
          <w:sz w:val="26"/>
          <w:szCs w:val="26"/>
          <w:rtl/>
          <w:lang w:bidi="he-IL"/>
        </w:rPr>
        <w:t xml:space="preserve"> מן הכלל אל הפרט</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בענייננו</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תביעת החוב נשענת בעיקרה על ההליך הפלילי שהתנהל כנגד החייב </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אשר אין חולק כי שימש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נושא משרה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חפציבה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על פי ההגדרה שבסעיף </w:t>
      </w:r>
      <w:r>
        <w:rPr>
          <w:rFonts w:ascii="Times New Roman" w:hAnsi="Times New Roman" w:cs="Times New Roman"/>
          <w:b/>
          <w:bCs/>
          <w:noProof/>
          <w:color w:val="000000"/>
          <w:sz w:val="26"/>
          <w:szCs w:val="26"/>
          <w:rtl/>
        </w:rPr>
        <w:t>373(</w:t>
      </w:r>
      <w:r>
        <w:rPr>
          <w:rFonts w:ascii="Times New Roman" w:hAnsi="Times New Roman" w:cs="David"/>
          <w:b/>
          <w:bCs/>
          <w:noProof/>
          <w:color w:val="000000"/>
          <w:sz w:val="26"/>
          <w:szCs w:val="26"/>
          <w:rtl/>
          <w:lang w:bidi="he-IL"/>
        </w:rPr>
        <w:t>א</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כתב האישום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שבעובדותיו הודה החייב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וגזר הדין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שצורפו לתביעת החוב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מציגים תמונה ברורה וקשה על האופן בו נוהלה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חפציבה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על ידי החייב </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בדרכי מרמה והונאה של גורמים שונים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תוך רישומים כוזבים והצגת מצגי שווא</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מקצת מהפעולות שביצע החייב הן אלה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הימנעות מלספק לרוכשי דירות מ</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חפציבה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בטוחה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כמתחייב על</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 xml:space="preserve">פי חוק המכר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דירות</w:t>
      </w:r>
      <w:r>
        <w:rPr>
          <w:rFonts w:ascii="Times New Roman" w:hAnsi="Times New Roman" w:cs="Times New Roman"/>
          <w:b/>
          <w:bCs/>
          <w:noProof/>
          <w:color w:val="000000"/>
          <w:sz w:val="26"/>
          <w:szCs w:val="26"/>
          <w:rtl/>
        </w:rPr>
        <w:t>) (</w:t>
      </w:r>
      <w:r>
        <w:rPr>
          <w:rFonts w:ascii="Times New Roman" w:hAnsi="Times New Roman" w:cs="David"/>
          <w:b/>
          <w:bCs/>
          <w:noProof/>
          <w:color w:val="000000"/>
          <w:sz w:val="26"/>
          <w:szCs w:val="26"/>
          <w:rtl/>
          <w:lang w:bidi="he-IL"/>
        </w:rPr>
        <w:t>הבטחת השקעות של רוכשי דירות</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התשל</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 xml:space="preserve">ה </w:t>
      </w:r>
      <w:r>
        <w:rPr>
          <w:rFonts w:ascii="Times New Roman" w:hAnsi="Times New Roman" w:cs="Times New Roman"/>
          <w:b/>
          <w:bCs/>
          <w:noProof/>
          <w:color w:val="000000"/>
          <w:sz w:val="26"/>
          <w:szCs w:val="26"/>
          <w:rtl/>
        </w:rPr>
        <w:t xml:space="preserve">- 1974, </w:t>
      </w:r>
      <w:r>
        <w:rPr>
          <w:rFonts w:ascii="Times New Roman" w:hAnsi="Times New Roman" w:cs="David"/>
          <w:b/>
          <w:bCs/>
          <w:noProof/>
          <w:color w:val="000000"/>
          <w:sz w:val="26"/>
          <w:szCs w:val="26"/>
          <w:rtl/>
          <w:lang w:bidi="he-IL"/>
        </w:rPr>
        <w:t>וחשיפתם לסיכונים כלכליים שונים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אי הפקדת כספי רוכשי דירות בחשבונות הליווי</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עריכת רישומים כוזבים בספרי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חפציבה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זיוף מסמכים והסוואת הפעולות שבוצעו בכספים מעיני בעלי המניות וציבור המשקיעים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רואי חשבון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בנקים מפקחים וגורמים שונים נוספים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לרבות הצגת מצגים כוזבים בפני גורמים אלה ובפני רוכשי הדירות בדבר מצבן של חברות חפציבה ופעילותן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עשיית שימוש בשליטתו של החייב בחברות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חפציבה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השונות תוך יצירת התחייבויות הדדיות ביניהן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ומשיכת כספים מהחברות הציבוריות ללא זכות כדין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תוך הפרת חובת אמון וללא קבלת האישורים הנדרשים על</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פי דין לביצוע פעולות אלה</w:t>
      </w:r>
      <w:r>
        <w:rPr>
          <w:rFonts w:ascii="Times New Roman" w:hAnsi="Times New Roman" w:cs="Times New Roman"/>
          <w:b/>
          <w:bCs/>
          <w:noProof/>
          <w:color w:val="000000"/>
          <w:sz w:val="26"/>
          <w:szCs w:val="26"/>
          <w:rtl/>
        </w:rPr>
        <w:t>.</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rPr>
      </w:pPr>
      <w:r>
        <w:rPr>
          <w:rFonts w:ascii="Times New Roman" w:hAnsi="Times New Roman" w:cs="Times New Roman"/>
          <w:b/>
          <w:bCs/>
          <w:noProof/>
          <w:color w:val="000000"/>
          <w:sz w:val="26"/>
          <w:szCs w:val="26"/>
          <w:rtl/>
        </w:rPr>
        <w:t>8.</w:t>
      </w:r>
      <w:r>
        <w:rPr>
          <w:rFonts w:ascii="Times New Roman" w:hAnsi="Times New Roman" w:cs="David"/>
          <w:b/>
          <w:bCs/>
          <w:noProof/>
          <w:color w:val="000000"/>
          <w:sz w:val="26"/>
          <w:szCs w:val="26"/>
          <w:rtl/>
          <w:lang w:bidi="he-IL"/>
        </w:rPr>
        <w:t xml:space="preserve"> בנסיבות אלה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המסקנה היא כי יש לקבל את בקשת המנהל המיוחד ולהצהיר</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בהתאם לסעיף </w:t>
      </w:r>
      <w:r>
        <w:rPr>
          <w:rFonts w:ascii="Times New Roman" w:hAnsi="Times New Roman" w:cs="Times New Roman"/>
          <w:b/>
          <w:bCs/>
          <w:noProof/>
          <w:color w:val="000000"/>
          <w:sz w:val="26"/>
          <w:szCs w:val="26"/>
          <w:rtl/>
        </w:rPr>
        <w:t xml:space="preserve">373 </w:t>
      </w:r>
      <w:r>
        <w:rPr>
          <w:rFonts w:ascii="Times New Roman" w:hAnsi="Times New Roman" w:cs="David"/>
          <w:b/>
          <w:bCs/>
          <w:noProof/>
          <w:color w:val="000000"/>
          <w:sz w:val="26"/>
          <w:szCs w:val="26"/>
          <w:rtl/>
          <w:lang w:bidi="he-IL"/>
        </w:rPr>
        <w:t>לפקודה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כי החייב נושא בחובות חפציבה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 xml:space="preserve">אשר היקפם המדוייק טרם </w:t>
      </w:r>
      <w:r>
        <w:rPr>
          <w:color w:val="000000"/>
          <w:sz w:val="26"/>
          <w:szCs w:val="26"/>
          <w:rtl/>
          <w:lang w:bidi="he-IL"/>
        </w:rPr>
        <w:t>ידוע</w:t>
      </w:r>
      <w:r>
        <w:rPr>
          <w:rFonts w:ascii="Times New Roman" w:hAnsi="Times New Roman" w:cs="David"/>
          <w:b/>
          <w:bCs/>
          <w:noProof/>
          <w:color w:val="000000"/>
          <w:sz w:val="26"/>
          <w:szCs w:val="26"/>
          <w:rtl/>
          <w:lang w:bidi="he-IL"/>
        </w:rPr>
        <w:t xml:space="preserve"> נכון להיום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יוער</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 xml:space="preserve"> כי לאור המסקנה אליה הגעתי</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אין צורך לדון בשאלה האם יש מקום לעשות שימוש בסעיף </w:t>
      </w:r>
      <w:r>
        <w:rPr>
          <w:rFonts w:ascii="Times New Roman" w:hAnsi="Times New Roman" w:cs="Times New Roman"/>
          <w:b/>
          <w:bCs/>
          <w:noProof/>
          <w:color w:val="000000"/>
          <w:sz w:val="26"/>
          <w:szCs w:val="26"/>
          <w:rtl/>
        </w:rPr>
        <w:t xml:space="preserve">6 </w:t>
      </w:r>
      <w:r>
        <w:rPr>
          <w:rFonts w:ascii="Times New Roman" w:hAnsi="Times New Roman" w:cs="David"/>
          <w:b/>
          <w:bCs/>
          <w:noProof/>
          <w:color w:val="000000"/>
          <w:sz w:val="26"/>
          <w:szCs w:val="26"/>
          <w:rtl/>
          <w:lang w:bidi="he-IL"/>
        </w:rPr>
        <w:t xml:space="preserve">לחוק החברות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שעניינו הרמת מסך</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במקרה דנן</w:t>
      </w:r>
      <w:r>
        <w:rPr>
          <w:rFonts w:ascii="Times New Roman" w:hAnsi="Times New Roman" w:cs="Times New Roman"/>
          <w:b/>
          <w:bCs/>
          <w:noProof/>
          <w:color w:val="000000"/>
          <w:sz w:val="26"/>
          <w:szCs w:val="26"/>
          <w:rtl/>
        </w:rPr>
        <w:t xml:space="preserve">. </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rPr>
      </w:pPr>
      <w:r>
        <w:rPr>
          <w:rFonts w:ascii="Times New Roman" w:hAnsi="Times New Roman" w:cs="Times New Roman"/>
          <w:b/>
          <w:bCs/>
          <w:noProof/>
          <w:color w:val="000000"/>
          <w:sz w:val="26"/>
          <w:szCs w:val="26"/>
          <w:rtl/>
        </w:rPr>
        <w:t>9.</w:t>
      </w:r>
      <w:r>
        <w:rPr>
          <w:rFonts w:ascii="Times New Roman" w:hAnsi="Times New Roman" w:cs="David"/>
          <w:b/>
          <w:bCs/>
          <w:noProof/>
          <w:color w:val="000000"/>
          <w:sz w:val="26"/>
          <w:szCs w:val="26"/>
          <w:rtl/>
          <w:lang w:bidi="he-IL"/>
        </w:rPr>
        <w:t xml:space="preserve"> טרם חיתום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אתייחס למספר טענות שהעלה החייב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אין לקבל את הטענה בדבר</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חוסר סמכותו של המנהל </w:t>
      </w:r>
      <w:r>
        <w:rPr>
          <w:color w:val="000000"/>
          <w:sz w:val="26"/>
          <w:szCs w:val="26"/>
          <w:rtl/>
          <w:lang w:bidi="he-IL"/>
        </w:rPr>
        <w:t>המיוחד</w:t>
      </w:r>
      <w:r>
        <w:rPr>
          <w:rFonts w:ascii="Times New Roman" w:hAnsi="Times New Roman" w:cs="David"/>
          <w:b/>
          <w:bCs/>
          <w:noProof/>
          <w:color w:val="000000"/>
          <w:sz w:val="26"/>
          <w:szCs w:val="26"/>
          <w:rtl/>
          <w:lang w:bidi="he-IL"/>
        </w:rPr>
        <w:t xml:space="preserve"> להגיש את הבקשה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שעה שסעיף </w:t>
      </w:r>
      <w:r>
        <w:rPr>
          <w:rFonts w:ascii="Times New Roman" w:hAnsi="Times New Roman" w:cs="Times New Roman"/>
          <w:b/>
          <w:bCs/>
          <w:noProof/>
          <w:color w:val="000000"/>
          <w:sz w:val="26"/>
          <w:szCs w:val="26"/>
          <w:rtl/>
        </w:rPr>
        <w:t xml:space="preserve">373 </w:t>
      </w:r>
      <w:r>
        <w:rPr>
          <w:rFonts w:ascii="Times New Roman" w:hAnsi="Times New Roman" w:cs="David"/>
          <w:b/>
          <w:bCs/>
          <w:noProof/>
          <w:color w:val="000000"/>
          <w:sz w:val="26"/>
          <w:szCs w:val="26"/>
          <w:rtl/>
          <w:lang w:bidi="he-IL"/>
        </w:rPr>
        <w:t>מציין במפורש כי בין הגורמים שיכולים להגיש בקשה לפי סעיף זה נמצא גם מפרק החברה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גם טענת החייב בדבר מועד הגשת תביעת החוב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דינה להידחות</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נכון הוא כי בקשה למתן ארכה להגשת תביעת חוב מצריכה טעמים מיוחדים להיעתר לה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ואכן טעמים אלה התקיימו במקרה דנן ובדין נעתר כונס הנכסים הרשמי לבקשת המנהל המיוחד להארכת המועד</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אין מדובר בתביעת חוב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סטנדרטית</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אלא מדובר בהיקפים עצומים של מידע ומסמכים שעל המנהל המיוחד וצוותו היה לבחון על מנת לנסות ולעמוד על היקף המרמה והחובות</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בהקשר זה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הצדק עם המנהל המיוחד כי על תביעת חוב להיות נקובה בסכום ולכן נזקק המנהל המיוחד לשתי הארכות שביקש וקיבל לצורך הגשת תביעת החוב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טענה נוספת שהעלה החייב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היא לאי קבילות מסמכים שצורפו לתביעת החוב ובייחוד כתב האישום וגזר הדין בהליך הפלילי שנוהל כנגד החייב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גם טענה זו יש לדחות על </w:t>
      </w:r>
      <w:r w:rsidRPr="00805068">
        <w:rPr>
          <w:rFonts w:ascii="David" w:hAnsi="David" w:cs="David"/>
          <w:b/>
          <w:bCs/>
          <w:color w:val="000000"/>
          <w:sz w:val="26"/>
          <w:szCs w:val="26"/>
          <w:rtl/>
          <w:lang w:bidi="he-IL"/>
        </w:rPr>
        <w:t>הסף</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כזכור</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החייב הודה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במסגרת הסדר טיעון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בעובדות כתב האישום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והורשע בכל העובדות שיוחסו לו בכתב האישום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לכן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המסמך הרלבנטי לתביעת החוב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הוא גזר הדין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בו מפורטים מעשי המרמה של החייב בהם הורשע</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למעלה מכך</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החייב למעשה לא העלה טענה או בקשה לסתור את שנקבע בהליך הפלילי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וזאת מבלי להתייחס לשאלה אם יכול היה משפטית לעשות זאת לאחר שהורשע על פי הודאתו</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אם כן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לא מובן הבסיס לטענה זו של החייב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לבסוף</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טען החייב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כי על פי הפסיקה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תנאי להכרזה על נושא משרה כחב בחובות החברה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הוא כי נושא המשרה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לקח לכיסו</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כהגדרתו</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החייב אף הפנה לפרשת פישר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שנזכרה לעיל</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כתומכת בטענה זו</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הפכתי בפסק הדין שניתן בעניין פישר ולא מצאתי תימוכין לטענת החייב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ההפך הוא הנכון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גישת הפסיקה היא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כפי שגם הובעה בפרשת פישר</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כי קשת המקרים היכולים לענות על הגדרת ניהול חברה בדרך של תרמית</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היא רחבה מאוד</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אחד המקרים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עשוי להיות מצב בו נושא המשרה פועל לקידום אינטרס אישי שלו על חשבון החברה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אולם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מדובר בדוגמא בלבד וודאי שאין זה תנאי בלעדיו אָין להטלת אחריות על נושא משרה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אולם למעלה מן הצורך</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מגזר הדין עולה כי החייב גם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לקח לכיסו</w:t>
      </w:r>
      <w:r>
        <w:rPr>
          <w:rFonts w:ascii="Times New Roman" w:hAnsi="Times New Roman" w:cs="Times New Roman"/>
          <w:b/>
          <w:bCs/>
          <w:noProof/>
          <w:color w:val="000000"/>
          <w:sz w:val="26"/>
          <w:szCs w:val="26"/>
          <w:rtl/>
        </w:rPr>
        <w:t>" (</w:t>
      </w:r>
      <w:r>
        <w:rPr>
          <w:rFonts w:ascii="Times New Roman" w:hAnsi="Times New Roman" w:cs="David"/>
          <w:b/>
          <w:bCs/>
          <w:noProof/>
          <w:color w:val="000000"/>
          <w:sz w:val="26"/>
          <w:szCs w:val="26"/>
          <w:rtl/>
          <w:lang w:bidi="he-IL"/>
        </w:rPr>
        <w:t xml:space="preserve">ראו לדוגמא סעיף </w:t>
      </w:r>
      <w:r>
        <w:rPr>
          <w:rFonts w:ascii="Times New Roman" w:hAnsi="Times New Roman" w:cs="Times New Roman"/>
          <w:b/>
          <w:bCs/>
          <w:noProof/>
          <w:color w:val="000000"/>
          <w:sz w:val="26"/>
          <w:szCs w:val="26"/>
          <w:rtl/>
        </w:rPr>
        <w:t xml:space="preserve">10 </w:t>
      </w:r>
      <w:r>
        <w:rPr>
          <w:rFonts w:ascii="Times New Roman" w:hAnsi="Times New Roman" w:cs="David"/>
          <w:b/>
          <w:bCs/>
          <w:noProof/>
          <w:color w:val="000000"/>
          <w:sz w:val="26"/>
          <w:szCs w:val="26"/>
          <w:rtl/>
          <w:lang w:bidi="he-IL"/>
        </w:rPr>
        <w:t>לגזר הדין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שם מתואר</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בין היתר</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כיצד החייב הורה ליטול ממחלקת הגבייה של </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חפציבה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שיקים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להמירם למזומן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ולהעביר את הכספים אליו</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כך אכן נעשה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ממילא</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נשמט הבסיס גם מתחת לטענה זו של החייב</w:t>
      </w:r>
      <w:r>
        <w:rPr>
          <w:rFonts w:ascii="Times New Roman" w:hAnsi="Times New Roman" w:cs="Times New Roman"/>
          <w:b/>
          <w:bCs/>
          <w:noProof/>
          <w:color w:val="000000"/>
          <w:sz w:val="26"/>
          <w:szCs w:val="26"/>
          <w:rtl/>
        </w:rPr>
        <w:t xml:space="preserve">. </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rPr>
      </w:pPr>
      <w:r>
        <w:rPr>
          <w:rFonts w:ascii="Times New Roman" w:hAnsi="Times New Roman" w:cs="David"/>
          <w:b/>
          <w:bCs/>
          <w:noProof/>
          <w:color w:val="000000"/>
          <w:sz w:val="26"/>
          <w:szCs w:val="26"/>
          <w:rtl/>
          <w:lang w:bidi="he-IL"/>
        </w:rPr>
        <w:t>סוף דבר</w:t>
      </w:r>
    </w:p>
    <w:p w:rsidR="00214F7B" w:rsidRDefault="00214F7B" w:rsidP="00214F7B">
      <w:pPr>
        <w:pStyle w:val="af1"/>
        <w:bidi/>
        <w:spacing w:after="360" w:line="360" w:lineRule="auto"/>
        <w:ind w:left="941" w:right="709"/>
        <w:jc w:val="both"/>
        <w:rPr>
          <w:rFonts w:ascii="David" w:hAnsi="David" w:cs="David"/>
          <w:sz w:val="26"/>
          <w:szCs w:val="26"/>
          <w:rtl/>
          <w:lang w:bidi="he-IL"/>
        </w:rPr>
      </w:pPr>
      <w:r>
        <w:rPr>
          <w:rFonts w:ascii="Times New Roman" w:hAnsi="Times New Roman" w:cs="Times New Roman"/>
          <w:b/>
          <w:bCs/>
          <w:noProof/>
          <w:color w:val="000000"/>
          <w:sz w:val="26"/>
          <w:szCs w:val="26"/>
          <w:rtl/>
        </w:rPr>
        <w:t>10. </w:t>
      </w:r>
      <w:r>
        <w:rPr>
          <w:rFonts w:ascii="Times New Roman" w:hAnsi="Times New Roman" w:cs="David"/>
          <w:b/>
          <w:bCs/>
          <w:noProof/>
          <w:color w:val="000000"/>
          <w:sz w:val="26"/>
          <w:szCs w:val="26"/>
          <w:rtl/>
          <w:lang w:bidi="he-IL"/>
        </w:rPr>
        <w:t>הבקשה מתקבלת</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הנני עושה שימוש בסמכות המוקנית לי מכוח סעיף </w:t>
      </w:r>
      <w:r>
        <w:rPr>
          <w:rFonts w:ascii="Times New Roman" w:hAnsi="Times New Roman" w:cs="Times New Roman"/>
          <w:b/>
          <w:bCs/>
          <w:noProof/>
          <w:color w:val="000000"/>
          <w:sz w:val="26"/>
          <w:szCs w:val="26"/>
          <w:rtl/>
        </w:rPr>
        <w:t xml:space="preserve">373 </w:t>
      </w:r>
      <w:r>
        <w:rPr>
          <w:rFonts w:ascii="Times New Roman" w:hAnsi="Times New Roman" w:cs="David"/>
          <w:b/>
          <w:bCs/>
          <w:noProof/>
          <w:color w:val="000000"/>
          <w:sz w:val="26"/>
          <w:szCs w:val="26"/>
          <w:rtl/>
          <w:lang w:bidi="he-IL"/>
        </w:rPr>
        <w:t>לפקודה ומכריז כי החייב חב בחובות חפציבה ללא הגבלה</w:t>
      </w:r>
      <w:r>
        <w:rPr>
          <w:color w:val="000000"/>
          <w:sz w:val="26"/>
          <w:szCs w:val="26"/>
        </w:rPr>
        <w:t>"</w:t>
      </w:r>
      <w:r>
        <w:rPr>
          <w:rFonts w:ascii="David" w:hAnsi="David" w:cs="David"/>
          <w:sz w:val="26"/>
          <w:szCs w:val="26"/>
          <w:rtl/>
          <w:lang w:bidi="he-IL"/>
        </w:rPr>
        <w:t>.</w:t>
      </w:r>
    </w:p>
    <w:p w:rsidR="00214F7B" w:rsidRDefault="00214F7B" w:rsidP="00214F7B">
      <w:pPr>
        <w:pStyle w:val="af1"/>
        <w:bidi/>
        <w:spacing w:after="360" w:line="360" w:lineRule="auto"/>
        <w:ind w:left="1502" w:right="1418"/>
        <w:jc w:val="both"/>
        <w:rPr>
          <w:rFonts w:ascii="David" w:hAnsi="David" w:cs="David"/>
          <w:sz w:val="26"/>
          <w:szCs w:val="26"/>
          <w:rtl/>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פסק הדין של כב' השופט (בדימוס) י' צבן בע"ר 313/10 הפך לחלוט.</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בהמשך לאמור, ניהל המנהל המיוחד מספר רב מאד של הליכים שונים במסגרת תיק הפירוק ותיקים נוספים הנוגעים לניהול קבוצת חפציבה ולטיפול במכלול רוכשי הדירות. ההליכים דנן, יחד עם הליכי הכינוס ופשיטת הרגל של החייב נמשכים מזה כ-15 שנים.</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805068">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יש לציין כי מדובר באחד מהליכי </w:t>
      </w:r>
      <w:r w:rsidR="00805068">
        <w:rPr>
          <w:rFonts w:ascii="David" w:hAnsi="David" w:cs="David" w:hint="cs"/>
          <w:sz w:val="26"/>
          <w:szCs w:val="26"/>
          <w:rtl/>
          <w:lang w:bidi="he-IL"/>
        </w:rPr>
        <w:t xml:space="preserve">הפירוק והפש"ר </w:t>
      </w:r>
      <w:r>
        <w:rPr>
          <w:rFonts w:ascii="David" w:hAnsi="David" w:cs="David"/>
          <w:sz w:val="26"/>
          <w:szCs w:val="26"/>
          <w:rtl/>
          <w:lang w:bidi="he-IL"/>
        </w:rPr>
        <w:t>המורכבים שהתנהלו והוא נפרס על פני שנים רבות וכלל מספר רב של הליכים ונגע במספר רב של גורמים</w:t>
      </w:r>
      <w:r w:rsidR="00805068">
        <w:rPr>
          <w:rFonts w:ascii="David" w:hAnsi="David" w:cs="David" w:hint="cs"/>
          <w:sz w:val="26"/>
          <w:szCs w:val="26"/>
          <w:rtl/>
          <w:lang w:bidi="he-IL"/>
        </w:rPr>
        <w:t>,</w:t>
      </w:r>
      <w:r>
        <w:rPr>
          <w:rFonts w:ascii="David" w:hAnsi="David" w:cs="David"/>
          <w:sz w:val="26"/>
          <w:szCs w:val="26"/>
          <w:rtl/>
          <w:lang w:bidi="he-IL"/>
        </w:rPr>
        <w:t xml:space="preserve"> לרבות רוכשי הדירות מקבוצת חפציבה, בנקים, ספקים וגורמים רבים נוספים.</w:t>
      </w:r>
    </w:p>
    <w:p w:rsidR="00214F7B" w:rsidRDefault="00214F7B" w:rsidP="00214F7B">
      <w:pPr>
        <w:pStyle w:val="af1"/>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ההליכים האמורים הביאו לכדי צמצום משמעותי בפגיעה ברוכשי הדירות בפרויקטים השונים ולצמצום הפגיעה בהם. יחד עם זאת, כפי שעולה מהמסמכים השונים שהוגשו במסגרת בקשה זו, סך החוב של קבוצת חברות חפציבה עומד על כ-1.8 מיליארד שקלים.</w:t>
      </w:r>
    </w:p>
    <w:p w:rsidR="00214F7B" w:rsidRDefault="00214F7B" w:rsidP="00214F7B">
      <w:pPr>
        <w:spacing w:after="360" w:line="360" w:lineRule="auto"/>
        <w:jc w:val="both"/>
        <w:rPr>
          <w:rFonts w:ascii="David" w:hAnsi="David"/>
          <w:b/>
          <w:bCs/>
          <w:noProof w:val="0"/>
          <w:sz w:val="26"/>
          <w:szCs w:val="26"/>
          <w:u w:val="single"/>
        </w:rPr>
      </w:pPr>
      <w:r>
        <w:rPr>
          <w:rFonts w:ascii="David" w:hAnsi="David"/>
          <w:b/>
          <w:bCs/>
          <w:noProof w:val="0"/>
          <w:sz w:val="26"/>
          <w:szCs w:val="26"/>
          <w:u w:val="single"/>
          <w:rtl/>
        </w:rPr>
        <w:t xml:space="preserve">הבקשה למתן הפטר לחייב </w:t>
      </w: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ביום 18.7.17 הגיש החייב את הבקשה</w:t>
      </w:r>
      <w:r>
        <w:rPr>
          <w:rFonts w:ascii="David" w:hAnsi="David" w:cs="Times New Roman"/>
          <w:sz w:val="26"/>
          <w:szCs w:val="26"/>
          <w:rtl/>
        </w:rPr>
        <w:t>.</w:t>
      </w:r>
      <w:r w:rsidR="00805068">
        <w:rPr>
          <w:rFonts w:ascii="David" w:hAnsi="David" w:cs="David" w:hint="cs"/>
          <w:sz w:val="26"/>
          <w:szCs w:val="26"/>
          <w:rtl/>
          <w:lang w:bidi="he-IL"/>
        </w:rPr>
        <w:t xml:space="preserve"> כל המפורט בפרק זה מבוסס על הטענות שפורטו בבקשת החייב. </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805068">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במסגרת הבקשה </w:t>
      </w:r>
      <w:r w:rsidR="00805068">
        <w:rPr>
          <w:rFonts w:ascii="David" w:hAnsi="David" w:cs="David" w:hint="cs"/>
          <w:sz w:val="26"/>
          <w:szCs w:val="26"/>
          <w:rtl/>
          <w:lang w:bidi="he-IL"/>
        </w:rPr>
        <w:t xml:space="preserve">נטען </w:t>
      </w:r>
      <w:r>
        <w:rPr>
          <w:rFonts w:ascii="David" w:hAnsi="David" w:cs="David"/>
          <w:sz w:val="26"/>
          <w:szCs w:val="26"/>
          <w:rtl/>
          <w:lang w:bidi="he-IL"/>
        </w:rPr>
        <w:t xml:space="preserve">כי </w:t>
      </w:r>
      <w:r w:rsidR="00805068">
        <w:rPr>
          <w:rFonts w:ascii="David" w:hAnsi="David" w:cs="David" w:hint="cs"/>
          <w:sz w:val="26"/>
          <w:szCs w:val="26"/>
          <w:rtl/>
          <w:lang w:bidi="he-IL"/>
        </w:rPr>
        <w:t>החייב</w:t>
      </w:r>
      <w:r>
        <w:rPr>
          <w:rFonts w:ascii="David" w:hAnsi="David" w:cs="David"/>
          <w:sz w:val="26"/>
          <w:szCs w:val="26"/>
          <w:rtl/>
          <w:lang w:bidi="he-IL"/>
        </w:rPr>
        <w:t xml:space="preserve"> יליד שנת 1960 (היום כבן 62) ולו שלושה ילדים.</w:t>
      </w:r>
    </w:p>
    <w:p w:rsidR="00214F7B" w:rsidRDefault="00214F7B" w:rsidP="00214F7B">
      <w:pPr>
        <w:pStyle w:val="af1"/>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במסגרת הליכי פשיטת הרגל נמכרו נכסיו של החייב, נתפסו חשבונות הבנק שלו ושל משפחתו ומומשו כל קופות הג</w:t>
      </w:r>
      <w:r w:rsidR="00805068">
        <w:rPr>
          <w:rFonts w:ascii="David" w:hAnsi="David" w:cs="David" w:hint="cs"/>
          <w:sz w:val="26"/>
          <w:szCs w:val="26"/>
          <w:rtl/>
          <w:lang w:bidi="he-IL"/>
        </w:rPr>
        <w:t>מ</w:t>
      </w:r>
      <w:r>
        <w:rPr>
          <w:rFonts w:ascii="David" w:hAnsi="David" w:cs="David"/>
          <w:sz w:val="26"/>
          <w:szCs w:val="26"/>
          <w:rtl/>
          <w:lang w:bidi="he-IL"/>
        </w:rPr>
        <w:t>ל והפנסיה שלו וכן כ-300,000 שקלים מכספי חסכונות ילדיו.</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805068">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בעקבות נסיבות קריסת קבוצת חפציבה הורשע החייב ונגזרו עליו 7 שנות מאסר ותשלום פיצוי </w:t>
      </w:r>
      <w:r w:rsidR="00805068">
        <w:rPr>
          <w:rFonts w:ascii="David" w:hAnsi="David" w:cs="David" w:hint="cs"/>
          <w:sz w:val="26"/>
          <w:szCs w:val="26"/>
          <w:rtl/>
          <w:lang w:bidi="he-IL"/>
        </w:rPr>
        <w:t>ב</w:t>
      </w:r>
      <w:r>
        <w:rPr>
          <w:rFonts w:ascii="David" w:hAnsi="David" w:cs="David"/>
          <w:sz w:val="26"/>
          <w:szCs w:val="26"/>
          <w:rtl/>
          <w:lang w:bidi="he-IL"/>
        </w:rPr>
        <w:t>סך של 4,000,000 שקלים. החייב שילם את הפיצוי שנגזר עליו והשתחרר ביום 1.3.12 ממאסר לאחר ניכוי שליש מתקופת מאסרו וביום 29.8.14 סיים את תקופת המבחן כאסיר ברישיון.</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בתקופת מאסרו שהה החייב כשנה בבידוד מוחלט (בהפרדה) בשל חשש לפגיעה בו. לאחר שחרורו הצליח החייב לעבוד בעבודות זוטרות, כעובד שכיר, בשכר נמוך. זאת, בין היתר לאור המוניטין השלילי שקיים לו בעקבות נסיבות קריסת קבוצת חפציבה.</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805068">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החייב טען כי הליך פשיטת הרגל נועד לשרת שתי תכליות: האחת, עניינה בנושים והיא כינוס נכסיו של החייב לצורך פרעון חובותיו והשניה, עניינה בחייב כך שיתאפשר לו "לפתוח דף חדש" ולהתקדם בדרך חדשה וזאת כאשר לא יהיה בהליכי פשיטת הרגל לסייע לנושים. בקשר לכך מפנה החייב לרע"א 2282/03 </w:t>
      </w:r>
      <w:r>
        <w:rPr>
          <w:rFonts w:ascii="David" w:hAnsi="David" w:cs="David"/>
          <w:b/>
          <w:bCs/>
          <w:sz w:val="26"/>
          <w:szCs w:val="26"/>
          <w:rtl/>
          <w:lang w:bidi="he-IL"/>
        </w:rPr>
        <w:t>ראובן גרינברג נ' כונס הנכסים הרשמי</w:t>
      </w:r>
      <w:r>
        <w:rPr>
          <w:rFonts w:ascii="David" w:hAnsi="David" w:cs="David"/>
          <w:b/>
          <w:sz w:val="26"/>
          <w:szCs w:val="26"/>
          <w:rtl/>
          <w:lang w:bidi="he-IL"/>
        </w:rPr>
        <w:t>, פ"ד נח(ד), 810 (10.2.04)</w:t>
      </w:r>
      <w:r>
        <w:rPr>
          <w:rFonts w:ascii="David" w:hAnsi="David" w:cs="David"/>
          <w:b/>
          <w:bCs/>
          <w:sz w:val="26"/>
          <w:szCs w:val="26"/>
          <w:rtl/>
          <w:lang w:bidi="he-IL"/>
        </w:rPr>
        <w:t xml:space="preserve"> </w:t>
      </w:r>
      <w:r>
        <w:rPr>
          <w:rFonts w:ascii="David" w:hAnsi="David" w:cs="David"/>
          <w:b/>
          <w:sz w:val="26"/>
          <w:szCs w:val="26"/>
          <w:rtl/>
          <w:lang w:bidi="he-IL"/>
        </w:rPr>
        <w:t>ולבש"א (ת"א)</w:t>
      </w:r>
      <w:r>
        <w:rPr>
          <w:rFonts w:ascii="David" w:hAnsi="David" w:cs="David"/>
          <w:b/>
          <w:bCs/>
          <w:sz w:val="26"/>
          <w:szCs w:val="26"/>
          <w:rtl/>
          <w:lang w:bidi="he-IL"/>
        </w:rPr>
        <w:t xml:space="preserve"> 13671/03 אלוני בנימין נ' כונס הנכסים הרשמי-מחוז תל אביב, </w:t>
      </w:r>
      <w:r>
        <w:rPr>
          <w:rFonts w:ascii="David" w:hAnsi="David" w:cs="David"/>
          <w:b/>
          <w:sz w:val="26"/>
          <w:szCs w:val="26"/>
          <w:rtl/>
          <w:lang w:bidi="he-IL"/>
        </w:rPr>
        <w:t>תק-מח 2004(4), 3162 (2004)</w:t>
      </w:r>
      <w:r>
        <w:rPr>
          <w:rFonts w:ascii="David" w:hAnsi="David" w:cs="David"/>
          <w:sz w:val="26"/>
          <w:szCs w:val="26"/>
          <w:rtl/>
          <w:lang w:bidi="he-IL"/>
        </w:rPr>
        <w:t>.</w:t>
      </w:r>
    </w:p>
    <w:p w:rsidR="00214F7B" w:rsidRDefault="00214F7B" w:rsidP="00214F7B">
      <w:pPr>
        <w:pStyle w:val="af1"/>
        <w:rPr>
          <w:rFonts w:ascii="David" w:hAnsi="David" w:cs="David"/>
          <w:sz w:val="26"/>
          <w:szCs w:val="26"/>
        </w:rPr>
      </w:pPr>
    </w:p>
    <w:p w:rsidR="00214F7B" w:rsidRDefault="00214F7B" w:rsidP="00805068">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במסגרת הבקשה טען החייב כי הוא שיתף פעולה באופן מלא עם המנהל המיוחד ועם הכונס הרשמי וכי שיתוף הפעולה התקיים עוד משלב החקירה הראשונה בהליך הפלילי. כמו כן, החייב טען כי מסר למנהל המיוחד את כל המידע הרלוונטי וכן יפוי כוח כללי המתיר למנהל המיוחד לחקור ולקבל כל מידע בקשר לנכסים הנוגעים לעניין ונמצאים ברחבי העולם.</w:t>
      </w:r>
    </w:p>
    <w:p w:rsidR="00214F7B" w:rsidRPr="00805068"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למיטב ידיעתו של החייב המנהל המיוחד הצליח לפעול בנוגע לקבוצת חפציבה באופן שהביא לצבירת מאות מיליוני שקלים בקופתה וכן הוא מניב הכנסות חודשיות מנכסים אותם הוא מתפעל.</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805068">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החייב טען כי חוק חדלות </w:t>
      </w:r>
      <w:r w:rsidR="00326D06">
        <w:rPr>
          <w:rFonts w:ascii="David" w:hAnsi="David" w:cs="David" w:hint="cs"/>
          <w:sz w:val="26"/>
          <w:szCs w:val="26"/>
          <w:rtl/>
          <w:lang w:bidi="he-IL"/>
        </w:rPr>
        <w:t>פירעו</w:t>
      </w:r>
      <w:r w:rsidR="00326D06">
        <w:rPr>
          <w:rFonts w:ascii="David" w:hAnsi="David" w:cs="David" w:hint="eastAsia"/>
          <w:sz w:val="26"/>
          <w:szCs w:val="26"/>
          <w:rtl/>
          <w:lang w:bidi="he-IL"/>
        </w:rPr>
        <w:t>ן</w:t>
      </w:r>
      <w:r>
        <w:rPr>
          <w:rFonts w:ascii="David" w:hAnsi="David" w:cs="David"/>
          <w:sz w:val="26"/>
          <w:szCs w:val="26"/>
          <w:rtl/>
          <w:lang w:bidi="he-IL"/>
        </w:rPr>
        <w:t xml:space="preserve"> החדש שם דגש על שיקומו של החייב כאזרח מתפקד היכול לעמוד ברשות עצמו. בהמשך לכך, טען החייב כי במקרה דנן, מתן הפטר לחובותיו יביא לשיקומו ולכך שיוכל למצות את פוטנציאל ההשתכרות שלו.</w:t>
      </w:r>
    </w:p>
    <w:p w:rsidR="00214F7B" w:rsidRPr="00805068" w:rsidRDefault="00214F7B" w:rsidP="00214F7B">
      <w:pPr>
        <w:pStyle w:val="af1"/>
        <w:bidi/>
        <w:spacing w:after="360" w:line="360" w:lineRule="auto"/>
        <w:ind w:left="509"/>
        <w:jc w:val="both"/>
        <w:rPr>
          <w:rFonts w:ascii="David" w:hAnsi="David" w:cs="David"/>
          <w:sz w:val="26"/>
          <w:szCs w:val="26"/>
        </w:rPr>
      </w:pPr>
    </w:p>
    <w:p w:rsidR="00214F7B" w:rsidRDefault="00214F7B" w:rsidP="006A76F0">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עוד טען החייב כי הליך פשיטת הרגל בעניינו נמשך במועד הגשת הבקשה 10 שנים ונכון למתן החלטה זו כ-15 שנים. לטענת החייב מדובר בניהול הליך פשיטת רגל שנים רבות </w:t>
      </w:r>
      <w:r w:rsidR="00805068">
        <w:rPr>
          <w:rFonts w:ascii="David" w:hAnsi="David" w:cs="David" w:hint="cs"/>
          <w:sz w:val="26"/>
          <w:szCs w:val="26"/>
          <w:rtl/>
          <w:lang w:bidi="he-IL"/>
        </w:rPr>
        <w:t>מעבר ל</w:t>
      </w:r>
      <w:r>
        <w:rPr>
          <w:rFonts w:ascii="David" w:hAnsi="David" w:cs="David"/>
          <w:sz w:val="26"/>
          <w:szCs w:val="26"/>
          <w:rtl/>
          <w:lang w:bidi="he-IL"/>
        </w:rPr>
        <w:t xml:space="preserve">מקובל וכי רק בשל כך יש לתת לו הפטר. בקשר לכך, מפנה החייב לפש"ר 2274/06 </w:t>
      </w:r>
      <w:r>
        <w:rPr>
          <w:rFonts w:ascii="David" w:hAnsi="David" w:cs="David"/>
          <w:b/>
          <w:bCs/>
          <w:sz w:val="26"/>
          <w:szCs w:val="26"/>
          <w:rtl/>
          <w:lang w:bidi="he-IL"/>
        </w:rPr>
        <w:t>שרה חימאווי נ' כונס הנכסים הרשמי</w:t>
      </w:r>
      <w:r>
        <w:rPr>
          <w:rFonts w:ascii="David" w:hAnsi="David" w:cs="David"/>
          <w:sz w:val="26"/>
          <w:szCs w:val="26"/>
          <w:rtl/>
          <w:lang w:bidi="he-IL"/>
        </w:rPr>
        <w:t xml:space="preserve"> (17.5.15) ופש"ר</w:t>
      </w:r>
      <w:r w:rsidR="00805068">
        <w:rPr>
          <w:rFonts w:ascii="David" w:hAnsi="David" w:cs="David" w:hint="cs"/>
          <w:sz w:val="26"/>
          <w:szCs w:val="26"/>
          <w:rtl/>
          <w:lang w:bidi="he-IL"/>
        </w:rPr>
        <w:t xml:space="preserve"> 34561</w:t>
      </w:r>
      <w:r w:rsidR="006A76F0">
        <w:rPr>
          <w:rFonts w:ascii="David" w:hAnsi="David" w:cs="David" w:hint="cs"/>
          <w:sz w:val="26"/>
          <w:szCs w:val="26"/>
          <w:rtl/>
          <w:lang w:bidi="he-IL"/>
        </w:rPr>
        <w:t>-12-09</w:t>
      </w:r>
      <w:r>
        <w:rPr>
          <w:rFonts w:ascii="David" w:hAnsi="David" w:cs="David"/>
          <w:sz w:val="26"/>
          <w:szCs w:val="26"/>
          <w:rtl/>
          <w:lang w:bidi="he-IL"/>
        </w:rPr>
        <w:t xml:space="preserve"> </w:t>
      </w:r>
      <w:r>
        <w:rPr>
          <w:rFonts w:ascii="David" w:hAnsi="David" w:cs="David"/>
          <w:b/>
          <w:bCs/>
          <w:sz w:val="26"/>
          <w:szCs w:val="26"/>
          <w:rtl/>
          <w:lang w:bidi="he-IL"/>
        </w:rPr>
        <w:t>יוסף מורד נ' כונס הנכסים הרשמי</w:t>
      </w:r>
      <w:r>
        <w:rPr>
          <w:rFonts w:ascii="David" w:hAnsi="David" w:cs="David"/>
          <w:sz w:val="26"/>
          <w:szCs w:val="26"/>
          <w:rtl/>
          <w:lang w:bidi="he-IL"/>
        </w:rPr>
        <w:t xml:space="preserve"> (28.5.15) אשר שמו דגש על הזמן הרב שנוהל תיק פשיטת הרגל והצורך בסיומו של ההליך תוך זמן סביר.</w:t>
      </w:r>
    </w:p>
    <w:p w:rsidR="00214F7B" w:rsidRPr="006A76F0"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לטענת החייב אין בניהול הליך פשיטת הרגל דבר מלבד להענישו בנוסף לעונש שהוטל עליו בהליך הפלילי.</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6A76F0">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החייב טען כי החובות שהוטלו עליו במסגרת תיק ע"ר 313/10 (הנ"ל) בהתאם לסעיף 373 לפקוד</w:t>
      </w:r>
      <w:r w:rsidR="006A76F0">
        <w:rPr>
          <w:rFonts w:ascii="David" w:hAnsi="David" w:cs="David" w:hint="cs"/>
          <w:sz w:val="26"/>
          <w:szCs w:val="26"/>
          <w:rtl/>
          <w:lang w:bidi="he-IL"/>
        </w:rPr>
        <w:t>ת החברות</w:t>
      </w:r>
      <w:r>
        <w:rPr>
          <w:rFonts w:ascii="David" w:hAnsi="David" w:cs="David"/>
          <w:sz w:val="26"/>
          <w:szCs w:val="26"/>
          <w:rtl/>
          <w:lang w:bidi="he-IL"/>
        </w:rPr>
        <w:t xml:space="preserve"> הן חלק מהליך פשיטת הרגל וכי יש להחיל גם עליהם את ההפטר המבוקש. לטענת ה</w:t>
      </w:r>
      <w:r w:rsidR="006A76F0">
        <w:rPr>
          <w:rFonts w:ascii="David" w:hAnsi="David" w:cs="David" w:hint="cs"/>
          <w:sz w:val="26"/>
          <w:szCs w:val="26"/>
          <w:rtl/>
          <w:lang w:bidi="he-IL"/>
        </w:rPr>
        <w:t xml:space="preserve">חייב </w:t>
      </w:r>
      <w:r>
        <w:rPr>
          <w:rFonts w:ascii="David" w:hAnsi="David" w:cs="David"/>
          <w:sz w:val="26"/>
          <w:szCs w:val="26"/>
          <w:rtl/>
          <w:lang w:bidi="he-IL"/>
        </w:rPr>
        <w:t xml:space="preserve">למרות האמור בסעיף 69(א)(2) לפקודה, לבית המשפט שיקול דעת רחב המקנה לו את האפשרות לפטור את החייב מכלל חובותיו, לרבות אלו שנקבע לגביהם כי נוצרו בתרמית. בקשר לכך מפנה החייב לע"א 3083/13 </w:t>
      </w:r>
      <w:r>
        <w:rPr>
          <w:rFonts w:ascii="David" w:hAnsi="David" w:cs="David"/>
          <w:b/>
          <w:bCs/>
          <w:sz w:val="26"/>
          <w:szCs w:val="26"/>
          <w:rtl/>
          <w:lang w:bidi="he-IL"/>
        </w:rPr>
        <w:t>פלונית נ' יפים שיכמן ואח'</w:t>
      </w:r>
      <w:r>
        <w:rPr>
          <w:rFonts w:ascii="David" w:hAnsi="David" w:cs="David"/>
          <w:sz w:val="26"/>
          <w:szCs w:val="26"/>
          <w:rtl/>
          <w:lang w:bidi="he-IL"/>
        </w:rPr>
        <w:t xml:space="preserve"> (11.1.15).</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6A76F0">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בקשר לאמור, החייב טען כי אי מתן הפטר על כלל החובות ייאלץ אותו להמשיך בהליכי פשיטת רגל לבקשת נושים ויעסיק את המערכת לעוד שנים רבות, ללא כל יכולת </w:t>
      </w:r>
      <w:r w:rsidR="00326D06">
        <w:rPr>
          <w:rFonts w:ascii="David" w:hAnsi="David" w:cs="David" w:hint="cs"/>
          <w:sz w:val="26"/>
          <w:szCs w:val="26"/>
          <w:rtl/>
          <w:lang w:bidi="he-IL"/>
        </w:rPr>
        <w:t>פירעו</w:t>
      </w:r>
      <w:r w:rsidR="00326D06">
        <w:rPr>
          <w:rFonts w:ascii="David" w:hAnsi="David" w:cs="David" w:hint="eastAsia"/>
          <w:sz w:val="26"/>
          <w:szCs w:val="26"/>
          <w:rtl/>
          <w:lang w:bidi="he-IL"/>
        </w:rPr>
        <w:t>ן</w:t>
      </w:r>
      <w:r>
        <w:rPr>
          <w:rFonts w:ascii="David" w:hAnsi="David" w:cs="David"/>
          <w:sz w:val="26"/>
          <w:szCs w:val="26"/>
          <w:rtl/>
          <w:lang w:bidi="he-IL"/>
        </w:rPr>
        <w:t xml:space="preserve"> לחובות האלה.</w:t>
      </w:r>
    </w:p>
    <w:p w:rsidR="00214F7B" w:rsidRPr="006A76F0"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לטענת החייב, הוא נותר חסר כל, שילם את כלל התשלומים שנדרש לשלם, מימש את נכסיו באופן מלא ואין מקום, בנסיבות העניין, להותרתו בהליך הפש"ר ואין בהמשך ההליך בכדי להביא לתועלת מהותית לנושיו. לכן, יש מקום לקבל את בקשת ההפטר במלואה ולאפשר לו להמשיך בחייו בהמשך להליך הארוך ולגילו המתקדם.</w:t>
      </w:r>
    </w:p>
    <w:p w:rsidR="00214F7B" w:rsidRDefault="00214F7B" w:rsidP="00214F7B">
      <w:pPr>
        <w:spacing w:after="360" w:line="360" w:lineRule="auto"/>
        <w:jc w:val="both"/>
        <w:rPr>
          <w:rFonts w:ascii="David" w:hAnsi="David"/>
          <w:bCs/>
          <w:sz w:val="26"/>
          <w:szCs w:val="26"/>
          <w:u w:val="single"/>
        </w:rPr>
      </w:pPr>
      <w:r>
        <w:rPr>
          <w:rFonts w:ascii="David" w:hAnsi="David"/>
          <w:bCs/>
          <w:sz w:val="26"/>
          <w:szCs w:val="26"/>
          <w:u w:val="single"/>
          <w:rtl/>
        </w:rPr>
        <w:t>ההליך שבעקבות הבקשה</w:t>
      </w: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בעקבות הגשת הבקשה החל הליך ארוך מאד שארך כחמש שנים. הליך זה שכלל תגובות, דיונים והגשת דוחות ביניים סודיים הנוגעים לחקירה המתנהלת כנגד החייב ושהחלה </w:t>
      </w:r>
      <w:r>
        <w:rPr>
          <w:rFonts w:ascii="David" w:hAnsi="David" w:cs="David"/>
          <w:bCs/>
          <w:sz w:val="26"/>
          <w:szCs w:val="26"/>
          <w:u w:val="single"/>
          <w:rtl/>
          <w:lang w:bidi="he-IL"/>
        </w:rPr>
        <w:t>בעקבות הגשת בקשת ההפטר</w:t>
      </w:r>
      <w:r>
        <w:rPr>
          <w:rFonts w:ascii="David" w:hAnsi="David" w:cs="David"/>
          <w:sz w:val="26"/>
          <w:szCs w:val="26"/>
          <w:rtl/>
          <w:lang w:bidi="he-IL"/>
        </w:rPr>
        <w:t xml:space="preserve"> ובהמשך לכך, הביאה את גורמי החקירה לפתוח בחקירה פלילית סמויה שארכה מספר שנים והפכה לגלויה ביום 3.1.22 ובעקבותיה מבקש הכנ"ר שלא לדון בבקשת ההפטר בטרם תסתיים החקירה ויוחלט האם להעביר את הממצאים לגורמים הרלוונטיים, על מנת שהם ישקלו האם להגיש כתב אישום כנגד החייב בעקבות החקירה שהתפתחה.</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כאמור, מאז הגשת בקשת ההפטר החל הליך ארוך, אשר ארך כחמש שנים. לאור חשיבות הדברים מצאתי לנכון לתאר את השתלשלות העניינים בנוגע לבקשה ההפטר ו"תיבת הפנדורה" שנפתחה בעקבותיה באופן נרחב.</w:t>
      </w:r>
    </w:p>
    <w:p w:rsidR="00214F7B" w:rsidRDefault="00214F7B" w:rsidP="00214F7B">
      <w:pPr>
        <w:pStyle w:val="af1"/>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ביום 9.5.18 הגיש הכנ"ר את תגובתו לבקשה (בתחילה, לא הגיש המנהל המיוחד תגובה מטעמו וביקש להצטרף לתגובת הכנ"ר וראו בקשר לכך, בקשתו מיום 27.12.17)</w:t>
      </w:r>
      <w:r>
        <w:rPr>
          <w:rFonts w:ascii="David" w:hAnsi="David" w:cs="Times New Roman"/>
          <w:sz w:val="26"/>
          <w:szCs w:val="26"/>
          <w:rtl/>
        </w:rPr>
        <w:t xml:space="preserve">; </w:t>
      </w:r>
      <w:r>
        <w:rPr>
          <w:rFonts w:ascii="David" w:hAnsi="David" w:cs="David"/>
          <w:sz w:val="26"/>
          <w:szCs w:val="26"/>
          <w:rtl/>
          <w:lang w:bidi="he-IL"/>
        </w:rPr>
        <w:t xml:space="preserve">ביום 9.5.18 הגיש החייב את תשובתו לתסקיר הכנ"ר, ביום </w:t>
      </w:r>
      <w:r>
        <w:rPr>
          <w:rFonts w:ascii="David" w:hAnsi="David" w:cs="Times New Roman"/>
          <w:sz w:val="26"/>
          <w:szCs w:val="26"/>
          <w:rtl/>
        </w:rPr>
        <w:t>1</w:t>
      </w:r>
      <w:r>
        <w:rPr>
          <w:rFonts w:ascii="David" w:hAnsi="David" w:cs="David"/>
          <w:sz w:val="26"/>
          <w:szCs w:val="26"/>
          <w:rtl/>
          <w:lang w:bidi="he-IL"/>
        </w:rPr>
        <w:t xml:space="preserve">3.5.18 התקיים דיון במעמד הצדדים, </w:t>
      </w:r>
      <w:r w:rsidR="006A76F0">
        <w:rPr>
          <w:rFonts w:ascii="David" w:hAnsi="David" w:cs="David" w:hint="cs"/>
          <w:sz w:val="26"/>
          <w:szCs w:val="26"/>
          <w:rtl/>
          <w:lang w:bidi="he-IL"/>
        </w:rPr>
        <w:t>ו</w:t>
      </w:r>
      <w:r>
        <w:rPr>
          <w:rFonts w:ascii="David" w:hAnsi="David" w:cs="David"/>
          <w:sz w:val="26"/>
          <w:szCs w:val="26"/>
          <w:rtl/>
          <w:lang w:bidi="he-IL"/>
        </w:rPr>
        <w:t>לאחר הדיון ניתנה החלטה, שבמסגרתה, בין היתר, נקבע כך:</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rPr>
      </w:pPr>
      <w:r>
        <w:rPr>
          <w:rFonts w:ascii="Times New Roman" w:hAnsi="Times New Roman" w:cs="David"/>
          <w:b/>
          <w:bCs/>
          <w:noProof/>
          <w:color w:val="000000"/>
          <w:sz w:val="26"/>
          <w:szCs w:val="26"/>
          <w:rtl/>
          <w:lang w:bidi="he-IL"/>
        </w:rPr>
        <w:t xml:space="preserve">"1. בעקבות בקשת החייב למתן הפטר הוגש לבית המשפט ביום </w:t>
      </w:r>
      <w:r>
        <w:rPr>
          <w:rFonts w:ascii="Times New Roman" w:hAnsi="Times New Roman" w:cs="Times New Roman"/>
          <w:b/>
          <w:bCs/>
          <w:noProof/>
          <w:color w:val="000000"/>
          <w:sz w:val="26"/>
          <w:szCs w:val="26"/>
          <w:rtl/>
        </w:rPr>
        <w:t xml:space="preserve">9.5.18 </w:t>
      </w:r>
      <w:r>
        <w:rPr>
          <w:rFonts w:ascii="Times New Roman" w:hAnsi="Times New Roman" w:cs="David"/>
          <w:b/>
          <w:bCs/>
          <w:noProof/>
          <w:color w:val="000000"/>
          <w:sz w:val="26"/>
          <w:szCs w:val="26"/>
          <w:rtl/>
          <w:lang w:bidi="he-IL"/>
        </w:rPr>
        <w:t>תסקיר הכנ</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ר אשר כלל 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 חקירה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כאשר הכנ</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ר סבר כי הדברים העולים מן הדו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 מחייבים בדיקה מעמיקה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בתום הדיון שהתקיים ביום </w:t>
      </w:r>
      <w:r>
        <w:rPr>
          <w:rFonts w:ascii="Times New Roman" w:hAnsi="Times New Roman" w:cs="Times New Roman"/>
          <w:b/>
          <w:bCs/>
          <w:noProof/>
          <w:color w:val="000000"/>
          <w:sz w:val="26"/>
          <w:szCs w:val="26"/>
          <w:rtl/>
        </w:rPr>
        <w:t xml:space="preserve">10.5.18 </w:t>
      </w:r>
      <w:r>
        <w:rPr>
          <w:rFonts w:ascii="Times New Roman" w:hAnsi="Times New Roman" w:cs="David"/>
          <w:b/>
          <w:bCs/>
          <w:noProof/>
          <w:color w:val="000000"/>
          <w:sz w:val="26"/>
          <w:szCs w:val="26"/>
          <w:rtl/>
          <w:lang w:bidi="he-IL"/>
        </w:rPr>
        <w:t>נקבע כי אכן יש צורך בבדיקת הדברים שעלו מדו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 החקירה והגשת השלמות בכתב בעקבות תוצאות הבדיקה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עוד צוין בהחלטה כי ההליך מתנהל למעלה מ</w:t>
      </w:r>
      <w:r>
        <w:rPr>
          <w:rFonts w:ascii="Times New Roman" w:hAnsi="Times New Roman" w:cs="Times New Roman"/>
          <w:b/>
          <w:bCs/>
          <w:noProof/>
          <w:color w:val="000000"/>
          <w:sz w:val="26"/>
          <w:szCs w:val="26"/>
          <w:rtl/>
        </w:rPr>
        <w:t xml:space="preserve">-10 </w:t>
      </w:r>
      <w:r>
        <w:rPr>
          <w:rFonts w:ascii="Times New Roman" w:hAnsi="Times New Roman" w:cs="David"/>
          <w:b/>
          <w:bCs/>
          <w:noProof/>
          <w:color w:val="000000"/>
          <w:sz w:val="26"/>
          <w:szCs w:val="26"/>
          <w:rtl/>
          <w:lang w:bidi="he-IL"/>
        </w:rPr>
        <w:t>שנים ויש צורך לזרז את סיומו</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נקבע בהחלטה כי עד ליום </w:t>
      </w:r>
      <w:r>
        <w:rPr>
          <w:rFonts w:ascii="Times New Roman" w:hAnsi="Times New Roman" w:cs="Times New Roman"/>
          <w:b/>
          <w:bCs/>
          <w:noProof/>
          <w:color w:val="000000"/>
          <w:sz w:val="26"/>
          <w:szCs w:val="26"/>
          <w:rtl/>
        </w:rPr>
        <w:t xml:space="preserve">7.10.18 </w:t>
      </w:r>
      <w:r>
        <w:rPr>
          <w:rFonts w:ascii="Times New Roman" w:hAnsi="Times New Roman" w:cs="David"/>
          <w:b/>
          <w:bCs/>
          <w:noProof/>
          <w:color w:val="000000"/>
          <w:sz w:val="26"/>
          <w:szCs w:val="26"/>
          <w:rtl/>
          <w:lang w:bidi="he-IL"/>
        </w:rPr>
        <w:t>יוגשו לבית המשפט התייחסויות משלימות לבקשה למתן הפטר</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לרבות טיעונים משפטיים</w:t>
      </w:r>
      <w:r>
        <w:rPr>
          <w:rFonts w:ascii="Times New Roman" w:hAnsi="Times New Roman" w:cs="Times New Roman"/>
          <w:b/>
          <w:bCs/>
          <w:noProof/>
          <w:color w:val="000000"/>
          <w:sz w:val="26"/>
          <w:szCs w:val="26"/>
          <w:rtl/>
        </w:rPr>
        <w:t xml:space="preserve">. </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Pr>
      </w:pPr>
      <w:r>
        <w:rPr>
          <w:rFonts w:ascii="Times New Roman" w:hAnsi="Times New Roman" w:cs="David"/>
          <w:b/>
          <w:bCs/>
          <w:noProof/>
          <w:color w:val="000000"/>
          <w:sz w:val="26"/>
          <w:szCs w:val="26"/>
          <w:rtl/>
          <w:lang w:bidi="he-IL"/>
        </w:rPr>
        <w:t xml:space="preserve">2. בדיון שהתקיים ביום </w:t>
      </w:r>
      <w:r>
        <w:rPr>
          <w:rFonts w:ascii="Times New Roman" w:hAnsi="Times New Roman" w:cs="Times New Roman"/>
          <w:b/>
          <w:bCs/>
          <w:noProof/>
          <w:color w:val="000000"/>
          <w:sz w:val="26"/>
          <w:szCs w:val="26"/>
          <w:rtl/>
        </w:rPr>
        <w:t xml:space="preserve">4.11.18 </w:t>
      </w:r>
      <w:r>
        <w:rPr>
          <w:rFonts w:ascii="Times New Roman" w:hAnsi="Times New Roman" w:cs="David"/>
          <w:b/>
          <w:bCs/>
          <w:noProof/>
          <w:color w:val="000000"/>
          <w:sz w:val="26"/>
          <w:szCs w:val="26"/>
          <w:rtl/>
          <w:lang w:bidi="he-IL"/>
        </w:rPr>
        <w:t>התברר כי הזמן שחלף מאז הדיון הקודם בחודש מאי נוצל לצורך ניסיון לגבש מתווה מוסכם לסיום התיק</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משום כך לא קודמה החקירה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בדיון הנ</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ל התברר כי המשא ומתן לא הסתיים בהסכמה והצדדים השמיעו את טענותיהם בדיון</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בהחלטה שניתנה בתום הדיון נקבע כי עד ליום </w:t>
      </w:r>
      <w:r>
        <w:rPr>
          <w:rFonts w:ascii="Times New Roman" w:hAnsi="Times New Roman" w:cs="Times New Roman"/>
          <w:b/>
          <w:bCs/>
          <w:noProof/>
          <w:color w:val="000000"/>
          <w:sz w:val="26"/>
          <w:szCs w:val="26"/>
          <w:rtl/>
        </w:rPr>
        <w:t xml:space="preserve">3.2.19 </w:t>
      </w:r>
      <w:r>
        <w:rPr>
          <w:rFonts w:ascii="Times New Roman" w:hAnsi="Times New Roman" w:cs="David"/>
          <w:b/>
          <w:bCs/>
          <w:noProof/>
          <w:color w:val="000000"/>
          <w:sz w:val="26"/>
          <w:szCs w:val="26"/>
          <w:rtl/>
          <w:lang w:bidi="he-IL"/>
        </w:rPr>
        <w:t>תינתן האפשרות להגשת ממצאים נוספים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כתוצאה מהעמקת הבדיקות בעקבות 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 xml:space="preserve">ח החקירה ובעקבות כך יתקיים דיון ביום </w:t>
      </w:r>
      <w:r>
        <w:rPr>
          <w:rFonts w:ascii="Times New Roman" w:hAnsi="Times New Roman" w:cs="Times New Roman"/>
          <w:b/>
          <w:bCs/>
          <w:noProof/>
          <w:color w:val="000000"/>
          <w:sz w:val="26"/>
          <w:szCs w:val="26"/>
          <w:rtl/>
        </w:rPr>
        <w:t xml:space="preserve">13.2.19. </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rPr>
      </w:pPr>
      <w:r>
        <w:rPr>
          <w:rFonts w:ascii="Times New Roman" w:hAnsi="Times New Roman" w:cs="David"/>
          <w:b/>
          <w:bCs/>
          <w:noProof/>
          <w:color w:val="000000"/>
          <w:sz w:val="26"/>
          <w:szCs w:val="26"/>
          <w:rtl/>
          <w:lang w:bidi="he-IL"/>
        </w:rPr>
        <w:t>3. בתקופה שחלפה מאז הדיון הקודם התבקשו צווים שונים לשם העמקת החקירה ובוצעו פעולות חקירה שונות</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לרבות חיפוש בבית בו מתגוררים החייב ובני משפחתו</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אתמול הוגש לבית המשפט 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 ביניים חסוי מטעם הכנ</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ר</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אשר מחזיק </w:t>
      </w:r>
      <w:r>
        <w:rPr>
          <w:rFonts w:ascii="Times New Roman" w:hAnsi="Times New Roman" w:cs="Times New Roman"/>
          <w:b/>
          <w:bCs/>
          <w:noProof/>
          <w:color w:val="000000"/>
          <w:sz w:val="26"/>
          <w:szCs w:val="26"/>
          <w:rtl/>
        </w:rPr>
        <w:t xml:space="preserve">10 </w:t>
      </w:r>
      <w:r>
        <w:rPr>
          <w:rFonts w:ascii="Times New Roman" w:hAnsi="Times New Roman" w:cs="David"/>
          <w:b/>
          <w:bCs/>
          <w:noProof/>
          <w:color w:val="000000"/>
          <w:sz w:val="26"/>
          <w:szCs w:val="26"/>
          <w:rtl/>
          <w:lang w:bidi="he-IL"/>
        </w:rPr>
        <w:t>עמודים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מפרט חלק מן הממצאים שנמצאו בחקירה ומפרט את פעולות החקירה הנוספות המתבקשות כתוצאה מאותם ממצאים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המסקנה העולה מדו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 הביניים היא כי יש לאפשר את השלמת הבדיקות וראו לעניין זה את פסק הדין בע</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 xml:space="preserve">א </w:t>
      </w:r>
      <w:r>
        <w:rPr>
          <w:rFonts w:ascii="Times New Roman" w:hAnsi="Times New Roman" w:cs="Times New Roman"/>
          <w:b/>
          <w:bCs/>
          <w:noProof/>
          <w:color w:val="000000"/>
          <w:sz w:val="26"/>
          <w:szCs w:val="26"/>
          <w:rtl/>
        </w:rPr>
        <w:t xml:space="preserve">8521/14 </w:t>
      </w:r>
      <w:r>
        <w:rPr>
          <w:rFonts w:ascii="Times New Roman" w:hAnsi="Times New Roman" w:cs="David"/>
          <w:b/>
          <w:bCs/>
          <w:noProof/>
          <w:color w:val="000000"/>
          <w:sz w:val="26"/>
          <w:szCs w:val="26"/>
          <w:rtl/>
          <w:lang w:bidi="he-IL"/>
        </w:rPr>
        <w:t>עו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ד עופר גבריאלי נ</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עודד פרץ ואח</w:t>
      </w:r>
      <w:r>
        <w:rPr>
          <w:rFonts w:ascii="Times New Roman" w:hAnsi="Times New Roman" w:cs="Times New Roman"/>
          <w:b/>
          <w:bCs/>
          <w:noProof/>
          <w:color w:val="000000"/>
          <w:sz w:val="26"/>
          <w:szCs w:val="26"/>
          <w:rtl/>
        </w:rPr>
        <w:t xml:space="preserve">' (21.12.15). </w:t>
      </w:r>
      <w:r>
        <w:rPr>
          <w:rFonts w:ascii="Times New Roman" w:hAnsi="Times New Roman" w:cs="David"/>
          <w:b/>
          <w:bCs/>
          <w:noProof/>
          <w:color w:val="000000"/>
          <w:sz w:val="26"/>
          <w:szCs w:val="26"/>
          <w:rtl/>
          <w:lang w:bidi="he-IL"/>
        </w:rPr>
        <w:t>בדיון שהתקיים היום הודיעה באת כוח הכנ</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 xml:space="preserve">ר כי להערכתה נדרשים </w:t>
      </w:r>
      <w:r>
        <w:rPr>
          <w:rFonts w:ascii="Times New Roman" w:hAnsi="Times New Roman" w:cs="Times New Roman"/>
          <w:b/>
          <w:bCs/>
          <w:noProof/>
          <w:color w:val="000000"/>
          <w:sz w:val="26"/>
          <w:szCs w:val="26"/>
          <w:rtl/>
        </w:rPr>
        <w:t xml:space="preserve">4 </w:t>
      </w:r>
      <w:r>
        <w:rPr>
          <w:rFonts w:ascii="Times New Roman" w:hAnsi="Times New Roman" w:cs="David"/>
          <w:b/>
          <w:bCs/>
          <w:noProof/>
          <w:color w:val="000000"/>
          <w:sz w:val="26"/>
          <w:szCs w:val="26"/>
          <w:rtl/>
          <w:lang w:bidi="he-IL"/>
        </w:rPr>
        <w:t>חודשים על מנת לסיים את החקירה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הפעולות הנדרשות לשם סיום החקירה פורטו בסעיפים </w:t>
      </w:r>
      <w:r>
        <w:rPr>
          <w:rFonts w:ascii="Times New Roman" w:hAnsi="Times New Roman" w:cs="Times New Roman"/>
          <w:b/>
          <w:bCs/>
          <w:noProof/>
          <w:color w:val="000000"/>
          <w:sz w:val="26"/>
          <w:szCs w:val="26"/>
          <w:rtl/>
        </w:rPr>
        <w:t xml:space="preserve">26-28 </w:t>
      </w:r>
      <w:r>
        <w:rPr>
          <w:rFonts w:ascii="Times New Roman" w:hAnsi="Times New Roman" w:cs="David"/>
          <w:b/>
          <w:bCs/>
          <w:noProof/>
          <w:color w:val="000000"/>
          <w:sz w:val="26"/>
          <w:szCs w:val="26"/>
          <w:rtl/>
          <w:lang w:bidi="he-IL"/>
        </w:rPr>
        <w:t>לדוח הביניים החסוי</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אף שייתכן כי ניתן לסיים את ביצוע פעולות אלה בזמן קצר יותר מן המבוקש</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אני מתיר את ביצוע הפעולות המפורטות בסעיפים הנ</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ל</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מתוך מטרה לסיימן לכל המאוחר עד ליום </w:t>
      </w:r>
      <w:r>
        <w:rPr>
          <w:rFonts w:ascii="Times New Roman" w:hAnsi="Times New Roman" w:cs="Times New Roman"/>
          <w:b/>
          <w:bCs/>
          <w:noProof/>
          <w:color w:val="000000"/>
          <w:sz w:val="26"/>
          <w:szCs w:val="26"/>
          <w:rtl/>
        </w:rPr>
        <w:t xml:space="preserve">12.9.19. </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rPr>
      </w:pPr>
      <w:r>
        <w:rPr>
          <w:rFonts w:ascii="Times New Roman" w:hAnsi="Times New Roman" w:cs="David"/>
          <w:b/>
          <w:bCs/>
          <w:noProof/>
          <w:color w:val="000000"/>
          <w:sz w:val="26"/>
          <w:szCs w:val="26"/>
          <w:rtl/>
          <w:lang w:bidi="he-IL"/>
        </w:rPr>
        <w:t>4. במהלך הדיון הציעה באת כוח הכנ</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ר כי יוגש בעוד כחודש 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 חסוי נוסף אשר יפרט את התקדמות החקירה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על מנת שבית המשפט יוכל לפקח על התקדמות החקירה ולהתרשם כי היא מתבצעת בשקידה ראויה</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נקבע בזאת כי הכנ</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ר יגיש 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חות ביניים חסויים בתאריכים הבאים</w:t>
      </w:r>
      <w:r>
        <w:rPr>
          <w:rFonts w:ascii="Times New Roman" w:hAnsi="Times New Roman" w:cs="Times New Roman"/>
          <w:b/>
          <w:bCs/>
          <w:noProof/>
          <w:color w:val="000000"/>
          <w:sz w:val="26"/>
          <w:szCs w:val="26"/>
          <w:rtl/>
        </w:rPr>
        <w:t xml:space="preserve">: 12.6.19; 14.7.19 </w:t>
      </w:r>
      <w:r>
        <w:rPr>
          <w:rFonts w:ascii="Times New Roman" w:hAnsi="Times New Roman" w:cs="David"/>
          <w:b/>
          <w:bCs/>
          <w:noProof/>
          <w:color w:val="000000"/>
          <w:sz w:val="26"/>
          <w:szCs w:val="26"/>
          <w:rtl/>
          <w:lang w:bidi="he-IL"/>
        </w:rPr>
        <w:t>ו</w:t>
      </w:r>
      <w:r>
        <w:rPr>
          <w:rFonts w:ascii="Times New Roman" w:hAnsi="Times New Roman" w:cs="Times New Roman"/>
          <w:b/>
          <w:bCs/>
          <w:noProof/>
          <w:color w:val="000000"/>
          <w:sz w:val="26"/>
          <w:szCs w:val="26"/>
          <w:rtl/>
        </w:rPr>
        <w:t xml:space="preserve">-14.8.19. </w:t>
      </w:r>
      <w:r>
        <w:rPr>
          <w:rFonts w:ascii="Times New Roman" w:hAnsi="Times New Roman" w:cs="David"/>
          <w:b/>
          <w:bCs/>
          <w:noProof/>
          <w:color w:val="000000"/>
          <w:sz w:val="26"/>
          <w:szCs w:val="26"/>
          <w:rtl/>
          <w:lang w:bidi="he-IL"/>
        </w:rPr>
        <w:t>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חות אלה יצביעו על פעולות החקירה שבוצעו עד למועד כל אחד מהדו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חות ועל הפעולות שבכוונת הכנ</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ר לבצע לאחר מועד כל אחד מהדו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חות</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 xml:space="preserve">ביום </w:t>
      </w:r>
      <w:r>
        <w:rPr>
          <w:rFonts w:ascii="Times New Roman" w:hAnsi="Times New Roman" w:cs="Times New Roman"/>
          <w:b/>
          <w:bCs/>
          <w:noProof/>
          <w:color w:val="000000"/>
          <w:sz w:val="26"/>
          <w:szCs w:val="26"/>
          <w:rtl/>
        </w:rPr>
        <w:t xml:space="preserve">12.9.19 </w:t>
      </w:r>
      <w:r>
        <w:rPr>
          <w:rFonts w:ascii="Times New Roman" w:hAnsi="Times New Roman" w:cs="David"/>
          <w:b/>
          <w:bCs/>
          <w:noProof/>
          <w:color w:val="000000"/>
          <w:sz w:val="26"/>
          <w:szCs w:val="26"/>
          <w:rtl/>
          <w:lang w:bidi="he-IL"/>
        </w:rPr>
        <w:t>יוגש 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ח סופי מסכם</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אשר יוגש במקביל לבית המשפט ולב</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כ החייב</w:t>
      </w:r>
      <w:r>
        <w:rPr>
          <w:rFonts w:ascii="Times New Roman" w:hAnsi="Times New Roman" w:cs="Times New Roman"/>
          <w:b/>
          <w:bCs/>
          <w:noProof/>
          <w:color w:val="000000"/>
          <w:sz w:val="26"/>
          <w:szCs w:val="26"/>
          <w:rtl/>
        </w:rPr>
        <w:t xml:space="preserve">, </w:t>
      </w:r>
      <w:r>
        <w:rPr>
          <w:rFonts w:ascii="Times New Roman" w:hAnsi="Times New Roman" w:cs="David"/>
          <w:b/>
          <w:bCs/>
          <w:noProof/>
          <w:color w:val="000000"/>
          <w:sz w:val="26"/>
          <w:szCs w:val="26"/>
          <w:rtl/>
          <w:lang w:bidi="he-IL"/>
        </w:rPr>
        <w:t>אשר יוכל להגיש תגובה בכתב ביחס לדו</w:t>
      </w:r>
      <w:r>
        <w:rPr>
          <w:rFonts w:ascii="Times New Roman" w:hAnsi="Times New Roman" w:cs="Times New Roman"/>
          <w:b/>
          <w:bCs/>
          <w:noProof/>
          <w:color w:val="000000"/>
          <w:sz w:val="26"/>
          <w:szCs w:val="26"/>
          <w:rtl/>
        </w:rPr>
        <w:t>"</w:t>
      </w:r>
      <w:r>
        <w:rPr>
          <w:rFonts w:ascii="Times New Roman" w:hAnsi="Times New Roman" w:cs="David"/>
          <w:b/>
          <w:bCs/>
          <w:noProof/>
          <w:color w:val="000000"/>
          <w:sz w:val="26"/>
          <w:szCs w:val="26"/>
          <w:rtl/>
          <w:lang w:bidi="he-IL"/>
        </w:rPr>
        <w:t xml:space="preserve">ח עד ליום </w:t>
      </w:r>
      <w:r>
        <w:rPr>
          <w:rFonts w:ascii="Times New Roman" w:hAnsi="Times New Roman" w:cs="Times New Roman"/>
          <w:b/>
          <w:bCs/>
          <w:noProof/>
          <w:color w:val="000000"/>
          <w:sz w:val="26"/>
          <w:szCs w:val="26"/>
          <w:rtl/>
        </w:rPr>
        <w:t>26.9.19.</w:t>
      </w:r>
      <w:r>
        <w:rPr>
          <w:rFonts w:ascii="Times New Roman" w:hAnsi="Times New Roman" w:cs="David"/>
          <w:b/>
          <w:bCs/>
          <w:noProof/>
          <w:color w:val="000000"/>
          <w:sz w:val="26"/>
          <w:szCs w:val="26"/>
          <w:rtl/>
          <w:lang w:bidi="he-IL"/>
        </w:rPr>
        <w:t xml:space="preserve">..". </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בהמשך לכך, ביום 2.11.18 הוגשה תגובת המנהל המיוחד לבקשה</w:t>
      </w:r>
      <w:r>
        <w:rPr>
          <w:rFonts w:ascii="David" w:hAnsi="David" w:cs="Times New Roman"/>
          <w:sz w:val="26"/>
          <w:szCs w:val="26"/>
          <w:rtl/>
        </w:rPr>
        <w:t xml:space="preserve">; </w:t>
      </w:r>
      <w:r>
        <w:rPr>
          <w:rFonts w:ascii="David" w:hAnsi="David" w:cs="David"/>
          <w:sz w:val="26"/>
          <w:szCs w:val="26"/>
          <w:rtl/>
          <w:lang w:bidi="he-IL"/>
        </w:rPr>
        <w:t>ביום 5.5.19 הוגשה בקשה להגשת דו"ח סודי</w:t>
      </w:r>
      <w:r>
        <w:rPr>
          <w:rFonts w:ascii="David" w:hAnsi="David" w:cs="Times New Roman"/>
          <w:sz w:val="26"/>
          <w:szCs w:val="26"/>
          <w:rtl/>
        </w:rPr>
        <w:t xml:space="preserve">; </w:t>
      </w:r>
      <w:r>
        <w:rPr>
          <w:rFonts w:ascii="David" w:hAnsi="David" w:cs="David"/>
          <w:sz w:val="26"/>
          <w:szCs w:val="26"/>
          <w:rtl/>
          <w:lang w:bidi="he-IL"/>
        </w:rPr>
        <w:t>ביום 12.5.19 הוגש הדו"ח הסודי מטעם הכנ"ר; ביום 13.5.19 התקיים דיון (הנ"ל) במעמד הצדדים; ביום 13.6.19 הוגש דו"ח חסוי שני מטעם הכנ"ר; ביום 23.7.19 הוגש דו"ח חסוי שלישי מטעם הכנ"ר; ביום 15.8.19 הוגש דו"ח חסוי רביעי מטעם הכנ"ר; ביום 15.9.19 הוגש דו"ח חסוי חמישי מטעם הכנ"ר</w:t>
      </w:r>
      <w:r>
        <w:rPr>
          <w:rFonts w:ascii="David" w:hAnsi="David" w:cs="Times New Roman"/>
          <w:sz w:val="26"/>
          <w:szCs w:val="26"/>
          <w:rtl/>
        </w:rPr>
        <w:t>.</w:t>
      </w:r>
      <w:r>
        <w:rPr>
          <w:rFonts w:ascii="David" w:hAnsi="David" w:cs="David"/>
          <w:sz w:val="26"/>
          <w:szCs w:val="26"/>
          <w:rtl/>
          <w:lang w:bidi="he-IL"/>
        </w:rPr>
        <w:t xml:space="preserve">. ביום 7.11.19 הוגש דו"ח חסוי שישי מטעם הכנ"ר. </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מפעם לפעם, הגיש הכנ"ר בקשה לדחיית מועד הגשת הדו"ח המסכם מטעמו וניתנו החלטות המאריכות את מועד הגשת הדוחות. זאת משום שהחקירה התמשכה כפי שתואר לעיל והיו לכך הצדקות במסגרת הדוחות החסויים. יחד עם זאת, התמשכות החקירה גם הייתה נתונה לביקורת שיפוטית אשר נקבע לגביה במהלך הדרך כך (בהחלטה מיום 1.10.20):</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David" w:hAnsi="David" w:cs="David"/>
          <w:b/>
          <w:bCs/>
          <w:sz w:val="26"/>
          <w:szCs w:val="26"/>
          <w:rtl/>
          <w:lang w:bidi="he-IL"/>
        </w:rPr>
        <w:t>"1. גם כאשר לוקחים בחשבון את נימוקי הבקשה, לרבות אילוצים הנוגעים לנגיף הקורונה, הארכת מועד של 6 חודשים נראית בלתי סבירה בנסיבות העניין.</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David" w:hAnsi="David" w:cs="David"/>
          <w:b/>
          <w:bCs/>
          <w:sz w:val="26"/>
          <w:szCs w:val="26"/>
          <w:rtl/>
          <w:lang w:bidi="he-IL"/>
        </w:rPr>
        <w:t>2. על כן, הדו"ח המסכם מטעם הכנ"ר יוגש עד ליום 31.12.20.</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David" w:hAnsi="David" w:cs="David"/>
          <w:b/>
          <w:bCs/>
          <w:sz w:val="26"/>
          <w:szCs w:val="26"/>
          <w:rtl/>
          <w:lang w:bidi="he-IL"/>
        </w:rPr>
        <w:t>3. תגובת החייב לדו"ח המסכם תוגש עד ליום 28.1.21.</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David" w:hAnsi="David" w:cs="David"/>
          <w:b/>
          <w:bCs/>
          <w:sz w:val="26"/>
          <w:szCs w:val="26"/>
          <w:rtl/>
          <w:lang w:bidi="he-IL"/>
        </w:rPr>
        <w:t>4. נקבע לדיון ליום 11.2.20 בשעה 9:30.</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David" w:hAnsi="David" w:cs="David"/>
          <w:b/>
          <w:bCs/>
          <w:sz w:val="26"/>
          <w:szCs w:val="26"/>
          <w:rtl/>
          <w:lang w:bidi="he-IL"/>
        </w:rPr>
        <w:t>לאור חלוף הזמן ממועד הגשת בקשת החייב, על הכנ"ר להביא בחשבון כי בקשה להאר</w:t>
      </w:r>
      <w:r w:rsidR="006A76F0">
        <w:rPr>
          <w:rFonts w:ascii="David" w:hAnsi="David" w:cs="David" w:hint="cs"/>
          <w:b/>
          <w:bCs/>
          <w:sz w:val="26"/>
          <w:szCs w:val="26"/>
          <w:rtl/>
          <w:lang w:bidi="he-IL"/>
        </w:rPr>
        <w:t>כ</w:t>
      </w:r>
      <w:r>
        <w:rPr>
          <w:rFonts w:ascii="David" w:hAnsi="David" w:cs="David"/>
          <w:b/>
          <w:bCs/>
          <w:sz w:val="26"/>
          <w:szCs w:val="26"/>
          <w:rtl/>
          <w:lang w:bidi="he-IL"/>
        </w:rPr>
        <w:t>ת מועד נוספת להגשת הדו"ח הסופי לא תתקבל".</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בעקבות ההחלטה הנ"ל הוגשה בקשה נוספת לדחיית מועד הגשת הדו"ח הסופי. בעקבות החלטה בעניין זה הוגש ביום 21.1.21 דו"ח חסוי נוסף ובו פרטים הנוגעים להתקדמות החקירה. בהמשך לכך (ביום 3.2.21) התקיים דיון במעמד צד אחד אשר במסגרתו נאמרו הדברים הבאים:</w:t>
      </w:r>
    </w:p>
    <w:p w:rsidR="00214F7B" w:rsidRDefault="00214F7B" w:rsidP="00214F7B">
      <w:pPr>
        <w:pStyle w:val="af1"/>
        <w:bidi/>
        <w:spacing w:after="360" w:line="360" w:lineRule="auto"/>
        <w:ind w:left="941" w:right="709"/>
        <w:jc w:val="both"/>
        <w:rPr>
          <w:rFonts w:ascii="David" w:hAnsi="David" w:cs="David"/>
          <w:b/>
          <w:bCs/>
          <w:sz w:val="26"/>
          <w:szCs w:val="26"/>
          <w:lang w:bidi="he-IL"/>
        </w:rPr>
      </w:pPr>
      <w:r>
        <w:rPr>
          <w:rFonts w:ascii="David" w:hAnsi="David" w:cs="David"/>
          <w:sz w:val="26"/>
          <w:szCs w:val="26"/>
          <w:rtl/>
          <w:lang w:bidi="he-IL"/>
        </w:rPr>
        <w:t>"</w:t>
      </w:r>
      <w:r>
        <w:rPr>
          <w:rFonts w:ascii="David" w:hAnsi="David" w:cs="David"/>
          <w:b/>
          <w:bCs/>
          <w:sz w:val="26"/>
          <w:szCs w:val="26"/>
          <w:rtl/>
          <w:lang w:bidi="he-IL"/>
        </w:rPr>
        <w:t>כפי שנמסר בדוח החסוי, מתקיימת חקירה פלילית והיא נמצאת עדיין בשלב החסוי. אנו מעריכים בזהירות, כי בתוך חודש – חודש וחצי, החקירה תהפוך להיות גלויה.</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David" w:hAnsi="David" w:cs="David"/>
          <w:b/>
          <w:bCs/>
          <w:sz w:val="26"/>
          <w:szCs w:val="26"/>
          <w:rtl/>
          <w:lang w:bidi="he-IL"/>
        </w:rPr>
        <w:t>ככל שיתקיים דיון במעמד הצדדים לאחר שהחקירה תהפוך לגלויה, כמובן שלא נוכל לתת שום פרטים ביחס לחקירה והתנהלותה, וזאת עד לסיומה.</w:t>
      </w:r>
    </w:p>
    <w:p w:rsidR="00214F7B" w:rsidRDefault="00214F7B" w:rsidP="00214F7B">
      <w:pPr>
        <w:pStyle w:val="af1"/>
        <w:bidi/>
        <w:spacing w:after="360" w:line="360" w:lineRule="auto"/>
        <w:ind w:left="941" w:right="709"/>
        <w:jc w:val="both"/>
        <w:rPr>
          <w:rFonts w:ascii="David" w:hAnsi="David" w:cs="David"/>
          <w:sz w:val="26"/>
          <w:szCs w:val="26"/>
          <w:rtl/>
          <w:lang w:bidi="he-IL"/>
        </w:rPr>
      </w:pPr>
      <w:r>
        <w:rPr>
          <w:rFonts w:ascii="David" w:hAnsi="David" w:cs="David"/>
          <w:b/>
          <w:bCs/>
          <w:sz w:val="26"/>
          <w:szCs w:val="26"/>
          <w:rtl/>
          <w:lang w:bidi="he-IL"/>
        </w:rPr>
        <w:t>לשאלת ביהמ"ש, כרגע אין כוונה להגיש בקשה לביטול פשיטת הרגל ובהליך זה הכוונה היא להתנגד לבקשת החייב לקבלת הפטר, בין היתר, לאור מה שאנו יודעים כתוצאה מהחקירה</w:t>
      </w:r>
      <w:r>
        <w:rPr>
          <w:rFonts w:ascii="David" w:hAnsi="David" w:cs="David"/>
          <w:sz w:val="26"/>
          <w:szCs w:val="26"/>
          <w:rtl/>
          <w:lang w:bidi="he-IL"/>
        </w:rPr>
        <w:t>".</w:t>
      </w:r>
    </w:p>
    <w:p w:rsidR="00214F7B" w:rsidRDefault="00214F7B" w:rsidP="00214F7B">
      <w:pPr>
        <w:pStyle w:val="af1"/>
        <w:bidi/>
        <w:spacing w:after="360" w:line="360" w:lineRule="auto"/>
        <w:ind w:left="509"/>
        <w:jc w:val="both"/>
        <w:rPr>
          <w:rFonts w:ascii="David" w:hAnsi="David" w:cs="David"/>
          <w:sz w:val="26"/>
          <w:szCs w:val="26"/>
          <w:rtl/>
          <w:lang w:bidi="he-IL"/>
        </w:rPr>
      </w:pPr>
    </w:p>
    <w:p w:rsidR="00214F7B" w:rsidRDefault="00214F7B" w:rsidP="00214F7B">
      <w:pPr>
        <w:pStyle w:val="af1"/>
        <w:bidi/>
        <w:spacing w:after="360" w:line="360" w:lineRule="auto"/>
        <w:ind w:left="509"/>
        <w:jc w:val="both"/>
        <w:rPr>
          <w:rFonts w:ascii="David" w:hAnsi="David" w:cs="David"/>
          <w:sz w:val="26"/>
          <w:szCs w:val="26"/>
          <w:rtl/>
          <w:lang w:bidi="he-IL"/>
        </w:rPr>
      </w:pPr>
      <w:r>
        <w:rPr>
          <w:rFonts w:ascii="David" w:hAnsi="David" w:cs="David"/>
          <w:sz w:val="26"/>
          <w:szCs w:val="26"/>
          <w:rtl/>
          <w:lang w:bidi="he-IL"/>
        </w:rPr>
        <w:t>בהמשך לאמור ובמסגרת הדיון, נקבע כך:</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David" w:hAnsi="David" w:cs="David"/>
          <w:sz w:val="26"/>
          <w:szCs w:val="26"/>
          <w:rtl/>
          <w:lang w:bidi="he-IL"/>
        </w:rPr>
        <w:t>"</w:t>
      </w:r>
      <w:r>
        <w:rPr>
          <w:rFonts w:ascii="David" w:hAnsi="David" w:cs="David"/>
          <w:b/>
          <w:bCs/>
          <w:sz w:val="26"/>
          <w:szCs w:val="26"/>
          <w:rtl/>
          <w:lang w:bidi="he-IL"/>
        </w:rPr>
        <w:t>לאחר שהחקירה תהפוך גלויה, יוגש דוח סודי מטעם הכנ"ר שיכלול הודעה על המועד שבו הפכה החקירה לגלויה.</w:t>
      </w:r>
    </w:p>
    <w:p w:rsidR="00214F7B" w:rsidRDefault="00214F7B" w:rsidP="00214F7B">
      <w:pPr>
        <w:pStyle w:val="af1"/>
        <w:bidi/>
        <w:spacing w:after="360" w:line="360" w:lineRule="auto"/>
        <w:ind w:left="941" w:right="709"/>
        <w:jc w:val="both"/>
        <w:rPr>
          <w:rFonts w:ascii="David" w:hAnsi="David" w:cs="David"/>
          <w:sz w:val="26"/>
          <w:szCs w:val="26"/>
          <w:rtl/>
          <w:lang w:bidi="he-IL"/>
        </w:rPr>
      </w:pPr>
      <w:r>
        <w:rPr>
          <w:rFonts w:ascii="David" w:hAnsi="David" w:cs="David"/>
          <w:b/>
          <w:bCs/>
          <w:sz w:val="26"/>
          <w:szCs w:val="26"/>
          <w:rtl/>
          <w:lang w:bidi="he-IL"/>
        </w:rPr>
        <w:t>לאחר שתוגש הודעה כאמור, ייקבע דיון במעמד הצדדים בבקשת החייב להפטר</w:t>
      </w:r>
      <w:r>
        <w:rPr>
          <w:rFonts w:ascii="David" w:hAnsi="David" w:cs="David"/>
          <w:sz w:val="26"/>
          <w:szCs w:val="26"/>
          <w:rtl/>
          <w:lang w:bidi="he-IL"/>
        </w:rPr>
        <w:t>".</w:t>
      </w:r>
    </w:p>
    <w:p w:rsidR="00214F7B" w:rsidRDefault="00214F7B" w:rsidP="00214F7B">
      <w:pPr>
        <w:pStyle w:val="af1"/>
        <w:bidi/>
        <w:spacing w:after="360" w:line="360" w:lineRule="auto"/>
        <w:ind w:left="941" w:right="709"/>
        <w:jc w:val="both"/>
        <w:rPr>
          <w:rFonts w:ascii="David" w:hAnsi="David" w:cs="David"/>
          <w:sz w:val="26"/>
          <w:szCs w:val="26"/>
          <w:rtl/>
          <w:lang w:bidi="he-IL"/>
        </w:rPr>
      </w:pPr>
    </w:p>
    <w:p w:rsidR="00214F7B" w:rsidRDefault="00214F7B" w:rsidP="006A76F0">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בהמשך לאמור, ביום 23.5.2</w:t>
      </w:r>
      <w:r w:rsidR="006A76F0">
        <w:rPr>
          <w:rFonts w:ascii="David" w:hAnsi="David" w:cs="David" w:hint="cs"/>
          <w:sz w:val="26"/>
          <w:szCs w:val="26"/>
          <w:rtl/>
          <w:lang w:bidi="he-IL"/>
        </w:rPr>
        <w:t>1</w:t>
      </w:r>
      <w:r>
        <w:rPr>
          <w:rFonts w:ascii="David" w:hAnsi="David" w:cs="David"/>
          <w:sz w:val="26"/>
          <w:szCs w:val="26"/>
          <w:rtl/>
          <w:lang w:bidi="he-IL"/>
        </w:rPr>
        <w:t xml:space="preserve"> הוגשה בקשה נוספת לדחיית מועדים מטעם הכנ"ר בשל התארכות החקירה. בהמשך לכך, ניתנה באותו היום החלטה הדוחה את המועדים שנקבעו להגשת הדו"ח המסכם לחודשים אוקטובר (להגשת הדוח) ונובמבר (דיון) 2021.</w:t>
      </w:r>
    </w:p>
    <w:p w:rsidR="00214F7B"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6A76F0">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ביום 25.10.2</w:t>
      </w:r>
      <w:r w:rsidR="006A76F0">
        <w:rPr>
          <w:rFonts w:ascii="David" w:hAnsi="David" w:cs="David" w:hint="cs"/>
          <w:sz w:val="26"/>
          <w:szCs w:val="26"/>
          <w:rtl/>
          <w:lang w:bidi="he-IL"/>
        </w:rPr>
        <w:t>1</w:t>
      </w:r>
      <w:r>
        <w:rPr>
          <w:rFonts w:ascii="David" w:hAnsi="David" w:cs="David"/>
          <w:sz w:val="26"/>
          <w:szCs w:val="26"/>
          <w:rtl/>
          <w:lang w:bidi="he-IL"/>
        </w:rPr>
        <w:t xml:space="preserve"> הוגשה בקשה נוספת לדחיית מועדים מטעם הכנ"ר בשל התארכות החקירה. בהמשך לכך, ניתנה החלטה לדחיית המועדים לינואר (הגשת הדוח) ופברואר (דיון) 2022.</w:t>
      </w:r>
    </w:p>
    <w:p w:rsidR="00214F7B" w:rsidRDefault="00214F7B" w:rsidP="00214F7B">
      <w:pPr>
        <w:pStyle w:val="af1"/>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ביום 16.1.22 הגיש הכנ"ר הודעה (שבקשה בצידה). במסגרת הודעתו נטענו הדברים הבאים:</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David" w:hAnsi="David" w:cs="David"/>
          <w:b/>
          <w:bCs/>
          <w:sz w:val="26"/>
          <w:szCs w:val="26"/>
          <w:rtl/>
          <w:lang w:bidi="he-IL"/>
        </w:rPr>
        <w:t>"1. כפי שעדכן הכונס הרשמי את כב' בית המשפט התנהלה מזה תקופה חקירה סמויה כנגד החייב בחשד לביצוע עבירות פליליות על פי פקודת פשיטת הרגל. נוכח התקיימות החקירה דחה כב' בית המשפט מעת לעת את המועד להגשת הדו"ח המסכם.</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David" w:hAnsi="David" w:cs="David"/>
          <w:b/>
          <w:bCs/>
          <w:sz w:val="26"/>
          <w:szCs w:val="26"/>
          <w:rtl/>
          <w:lang w:bidi="he-IL"/>
        </w:rPr>
        <w:t>2. ביום 3.1.22 הפכה החקירה לגלויה.</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David" w:hAnsi="David" w:cs="David"/>
          <w:b/>
          <w:bCs/>
          <w:sz w:val="26"/>
          <w:szCs w:val="26"/>
          <w:rtl/>
          <w:lang w:bidi="he-IL"/>
        </w:rPr>
        <w:t>3. ברי, כי עתה, משהפכה החקירה לגלויה ונוכח החשד לביצוע עבירות על פי פקודת פשיטת הרגל ועד להתבהרות החשדות, אין מקום לדון בבקשת החייב למתן הפטר היא הבקשה נשוא הודעה זו.</w:t>
      </w:r>
    </w:p>
    <w:p w:rsidR="00214F7B" w:rsidRDefault="00214F7B" w:rsidP="006A76F0">
      <w:pPr>
        <w:pStyle w:val="af1"/>
        <w:bidi/>
        <w:spacing w:after="360" w:line="360" w:lineRule="auto"/>
        <w:ind w:left="941" w:right="709"/>
        <w:jc w:val="both"/>
        <w:rPr>
          <w:rFonts w:ascii="David" w:hAnsi="David" w:cs="David"/>
          <w:b/>
          <w:bCs/>
          <w:sz w:val="26"/>
          <w:szCs w:val="26"/>
          <w:rtl/>
          <w:lang w:bidi="he-IL"/>
        </w:rPr>
      </w:pPr>
      <w:r>
        <w:rPr>
          <w:rFonts w:ascii="David" w:hAnsi="David" w:cs="David"/>
          <w:b/>
          <w:bCs/>
          <w:sz w:val="26"/>
          <w:szCs w:val="26"/>
          <w:rtl/>
          <w:lang w:bidi="he-IL"/>
        </w:rPr>
        <w:t>4. אשר על כן מתבקש כב' בית המשפט, בשלב זה, לבטל את המועדים להגשת הדו"ח המסכם ולהגשת תשובת החייב ואת מועד הדיון שנקבע ליום 22.2.22 ולהורות כי הכונס הרשמי יגיש הודעת עדכון בדבר התקדמות ההליכים וההיתכנות לדיון בבקשת ההפטר עד ליום 17.7.22".</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הכנ"ר ביקש מסגרת תגובתו לבקשה, אשר תפורט להלן בהרחבה, כי בית המשפט ידחה את ההכרעה בבקשה עד לאחר מיצוי החקירה. אלא שדברים אלו, התבררו כבקשה זמנית ואילו הכנ"ר הבהיר בהמשך, כי הוא מבקש לדחות את ההכרעה בבקשת ההפטר עד לאחר מיצוי ההליכים הפליליים עד תומם, כלומר, ככל שיוגש כתב אישום עד הכרעה חלוטה.</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בהמשך לכך (ביום 31.1.22) ניתנה ההחלטה הבאה, אשר במסגרתה נאמרו, בין היתר, הדברים הבאים:</w:t>
      </w:r>
    </w:p>
    <w:p w:rsidR="00214F7B" w:rsidRDefault="00214F7B" w:rsidP="00214F7B">
      <w:pPr>
        <w:pStyle w:val="af1"/>
        <w:bidi/>
        <w:spacing w:after="360" w:line="360" w:lineRule="auto"/>
        <w:ind w:left="941" w:right="709"/>
        <w:jc w:val="both"/>
        <w:rPr>
          <w:rFonts w:ascii="David" w:hAnsi="David" w:cs="David"/>
          <w:b/>
          <w:bCs/>
          <w:sz w:val="26"/>
          <w:szCs w:val="26"/>
          <w:lang w:bidi="he-IL"/>
        </w:rPr>
      </w:pPr>
      <w:r>
        <w:rPr>
          <w:rFonts w:ascii="David" w:hAnsi="David" w:cs="David"/>
          <w:b/>
          <w:bCs/>
          <w:sz w:val="26"/>
          <w:szCs w:val="26"/>
          <w:rtl/>
          <w:lang w:bidi="he-IL"/>
        </w:rPr>
        <w:t>"2. לעצם העניין, איני מקבל את עמדת הכ"ר כפי שפורטה בהודעה מטעמו, לפיה "אין מקום לדון בבקשת החייב למתן הפטר" וכי ראוי להורות על הגשת עדכון עד ליום 17.7.22 בדבר התקדמות החקירה. משמעות עמדת הכנ"ר היא דחיית הדיון בבקשת הכנ"ר עד לאחר פגרת הקיץ ואולי אף הרבה יותר מאוחר (עד להחלטה על שימוע, לפני אישום; עד להחלטה על הגשת כתב אישום; עד להכרעה בהליך הפלילי, אם יוחלט לקיימו; עד להכרעת ערכאת הערעור בהליך הפלילי, אם יתקיים)...</w:t>
      </w:r>
    </w:p>
    <w:p w:rsidR="00214F7B" w:rsidRDefault="00214F7B" w:rsidP="00214F7B">
      <w:pPr>
        <w:pStyle w:val="af1"/>
        <w:bidi/>
        <w:spacing w:after="360" w:line="360" w:lineRule="auto"/>
        <w:ind w:left="941" w:right="709"/>
        <w:jc w:val="both"/>
        <w:rPr>
          <w:rFonts w:ascii="David" w:hAnsi="David" w:cs="David"/>
          <w:sz w:val="26"/>
          <w:szCs w:val="26"/>
          <w:rtl/>
        </w:rPr>
      </w:pPr>
      <w:r>
        <w:rPr>
          <w:rFonts w:ascii="David" w:hAnsi="David" w:cs="David"/>
          <w:b/>
          <w:bCs/>
          <w:sz w:val="26"/>
          <w:szCs w:val="26"/>
          <w:rtl/>
          <w:lang w:bidi="he-IL"/>
        </w:rPr>
        <w:t>4. דו"ח סופי מטעם הכנ"ר יוגש עד ליום 1.3.22. תגובת החייב לדו"ח תוגש עד ליום 29.3.22 והדיון בבקשה יידחה מיום 22.2.22 ליום 12.4.22...".</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בהמשך להחלטה הנ"ל לא הגיש הכנ"ר דו"ח מסכם וזאת בניגוד להחלטה והדיון התקיים ביום 12.4.22.</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במסגרת הדיון בקשר לבקשה, אשר עסק באפשרות לדון בבקשת ההפטר, לקבלה או לדחותה, טען הכנ"ר את הדברים הבאים (פרוטוקול, ע' 235, ש' 23 – ע' 236, ש' 21):</w:t>
      </w:r>
    </w:p>
    <w:p w:rsidR="00214F7B" w:rsidRDefault="00214F7B" w:rsidP="006A76F0">
      <w:pPr>
        <w:pStyle w:val="af1"/>
        <w:bidi/>
        <w:spacing w:after="360" w:line="360" w:lineRule="auto"/>
        <w:ind w:left="941" w:right="709"/>
        <w:jc w:val="both"/>
        <w:rPr>
          <w:rFonts w:ascii="David" w:hAnsi="David" w:cs="David"/>
          <w:b/>
          <w:bCs/>
          <w:sz w:val="26"/>
          <w:szCs w:val="26"/>
          <w:lang w:bidi="he-IL"/>
        </w:rPr>
      </w:pPr>
      <w:r>
        <w:rPr>
          <w:rFonts w:ascii="David" w:hAnsi="David" w:cs="David"/>
          <w:sz w:val="26"/>
          <w:szCs w:val="26"/>
          <w:rtl/>
          <w:lang w:bidi="he-IL"/>
        </w:rPr>
        <w:t>"</w:t>
      </w:r>
      <w:r>
        <w:rPr>
          <w:rFonts w:ascii="David" w:hAnsi="David" w:cs="David"/>
          <w:b/>
          <w:bCs/>
          <w:sz w:val="26"/>
          <w:szCs w:val="26"/>
          <w:rtl/>
          <w:lang w:bidi="he-IL"/>
        </w:rPr>
        <w:t>ביחס לשאלות בית המשפט, האם מטרת המהלך היא ביטול הליך פשיטת הרגל, או דחיית הבקשה למתן הפטר, אני משיבה – הקשבתי והאזנתי בקשר רב לחברי. בשלב הזה אנחנו מבקשים לדחות, כפי שביקשנו בהודעה, את הדיון בבקשה להפטר עד אשר יתבררו החשדות ביחס לביצוען של עבירות לפי פרק ח' לפקודת פשיטת הרגל. כוונתי שהחקירה תסתיים, תהיה החלטה האם יוגש כתב אישום, אם לאו</w:t>
      </w:r>
      <w:r>
        <w:rPr>
          <w:rFonts w:ascii="David" w:hAnsi="David" w:cs="David"/>
          <w:sz w:val="26"/>
          <w:szCs w:val="26"/>
          <w:rtl/>
          <w:lang w:bidi="he-IL"/>
        </w:rPr>
        <w:t xml:space="preserve">. </w:t>
      </w:r>
      <w:r>
        <w:rPr>
          <w:rFonts w:ascii="David" w:hAnsi="David" w:cs="David"/>
          <w:b/>
          <w:bCs/>
          <w:sz w:val="26"/>
          <w:szCs w:val="26"/>
          <w:rtl/>
          <w:lang w:bidi="he-IL"/>
        </w:rPr>
        <w:t>ככל שיוגש כתב אישום, יתנהל ממילא הליך, וככל שיוחלט לא להגיש כתב אישום, ממילא החשד הזה יתאיין. ביהמ"ש שאל את חברי בצדק רב, מה יהיה אם החובות שהוכרע שהם נוצרו במרמה, בהליך שהתנהל בבית המשפט של הפירוק ושל פשיטת הרגל בע"ר 313/10 בו נקבע מפורשות שביחס לכל חובות החברות הן נוצרו במרמה, והחייב חויב בהן, בניגוד לטענותיו של חברי כי הסכומים אינם ידועים, הכל גלוי וידוע באותו תסקיר שהגיש הכונס הרשמי, עובר לדיון בבקשת ההפטר, וכ</w:t>
      </w:r>
      <w:r w:rsidR="006A76F0">
        <w:rPr>
          <w:rFonts w:ascii="David" w:hAnsi="David" w:cs="David" w:hint="cs"/>
          <w:b/>
          <w:bCs/>
          <w:sz w:val="26"/>
          <w:szCs w:val="26"/>
          <w:rtl/>
          <w:lang w:bidi="he-IL"/>
        </w:rPr>
        <w:t>ד</w:t>
      </w:r>
      <w:r>
        <w:rPr>
          <w:rFonts w:ascii="David" w:hAnsi="David" w:cs="David"/>
          <w:b/>
          <w:bCs/>
          <w:sz w:val="26"/>
          <w:szCs w:val="26"/>
          <w:rtl/>
          <w:lang w:bidi="he-IL"/>
        </w:rPr>
        <w:t>י לסבר את אזנו של המותב ולהזכיר נשכחות לחברי, אני אומר שמצבת חובותיו של החייב עומדת על 1.8 מיליארד שקלים, ומתוכן 1.172 מיליארד שקלים הן חובות החברות, שלגביהן, כפי שציינתי, הוכרע שנוצרו במרמה.</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r>
        <w:rPr>
          <w:rFonts w:ascii="Times New Roman" w:hAnsi="Times New Roman" w:cs="David"/>
          <w:b/>
          <w:bCs/>
          <w:noProof/>
          <w:color w:val="000000"/>
          <w:sz w:val="26"/>
          <w:szCs w:val="26"/>
          <w:rtl/>
          <w:lang w:bidi="he-IL"/>
        </w:rPr>
        <w:t>לשאלת</w:t>
      </w:r>
      <w:r>
        <w:rPr>
          <w:rFonts w:ascii="David" w:hAnsi="David" w:cs="David"/>
          <w:b/>
          <w:bCs/>
          <w:sz w:val="26"/>
          <w:szCs w:val="26"/>
          <w:rtl/>
          <w:lang w:bidi="he-IL"/>
        </w:rPr>
        <w:t xml:space="preserve"> ביהמ"ש, מה יהיה המצב אם בתום החקירה יוחלט להגיש כתב אישום, והאם אז העת תהיה בשלה לדון בבקשת ההפטר, אני משיבה – חברי בשום שכל, מנסה לערבב מספר נושאים. החקירה לא קשורה לחובות המרמה שנוצרו ובגינן יש הכרעה חלוטה. החקירה מתנהלת משום שאנחנו חושדים שהחייב ביצע עבירות פשיטת רגל, במהלך תקופת פשיטת הרגל, ובמובן הזה אנחנו צריכים לפנות לסעיף 63 לפקודה. המותב צודק שגם אם יהיה החייב זכאי בסופו של יום, אם יוגש כתב אישום או לחילופין, אם יוחלט שלא להגיש כתב אישום, תישאר עדיין טענתנו שטענו בדיונים הקודמים ושהמותב שאל במפורש עליה, כי החייב הזה לא יכול לקבל הפטר מהחובות שהוכרע שנוצרו במרמה, לכן החקירה וכתב האישום, אם יוגש, הם יכולים אולי לסייע לחייב לקבל הפטר מהחובות שלא נוצרו במרמה. אולי לשיטתו. זה יכול לקדם את החייב. הוא לא יוכל לסייע לקבל הפטר על החובות שנוצרו במרמה. לשיטתנו הגשת כתב אישום או אי הגשת כתב אישום, תהיה איזה שהוא אות או סימן האם ניתן יהיה להמשיך להתקדם בדיון למתן הפטר. חשבנו שהסעד קל יותר הוא לבקש איזה דחייה בדיון בבקשת ההפטר עד שיתברר המצב בחקירה הפלילית.</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lang w:bidi="he-IL"/>
        </w:rPr>
      </w:pPr>
      <w:r>
        <w:rPr>
          <w:rFonts w:ascii="Times New Roman" w:hAnsi="Times New Roman" w:cs="David"/>
          <w:b/>
          <w:bCs/>
          <w:noProof/>
          <w:color w:val="000000"/>
          <w:sz w:val="26"/>
          <w:szCs w:val="26"/>
          <w:rtl/>
          <w:lang w:bidi="he-IL"/>
        </w:rPr>
        <w:t xml:space="preserve">לשאלת ביהמ"ש, בנקודת הזמן שבה יוחלט, אם יוחלט על הגשת כתב אישום, ניתן יהיה לדון בבקשת ההפטר, אני משיבה – אני סבורה שצריך לחכות להכרעת הדין. אני מתקשה לראות ביהמ"ש שדן בבקשת הפטר, שתלויים הליכים פליליים עם כתב </w:t>
      </w:r>
      <w:r w:rsidR="00197E6E">
        <w:rPr>
          <w:rFonts w:ascii="Times New Roman" w:hAnsi="Times New Roman" w:cs="David" w:hint="cs"/>
          <w:b/>
          <w:bCs/>
          <w:noProof/>
          <w:color w:val="000000"/>
          <w:sz w:val="26"/>
          <w:szCs w:val="26"/>
          <w:rtl/>
          <w:lang w:bidi="he-IL"/>
        </w:rPr>
        <w:t>א</w:t>
      </w:r>
      <w:r>
        <w:rPr>
          <w:rFonts w:ascii="Times New Roman" w:hAnsi="Times New Roman" w:cs="David"/>
          <w:b/>
          <w:bCs/>
          <w:noProof/>
          <w:color w:val="000000"/>
          <w:sz w:val="26"/>
          <w:szCs w:val="26"/>
          <w:rtl/>
          <w:lang w:bidi="he-IL"/>
        </w:rPr>
        <w:t>ישום על חשד לעבירות בפשיטת רגל. הפקודה לפי 63, מאפשרת למותב לפחות בשלב זה, איזה שהוא שיקול דעת.</w:t>
      </w:r>
    </w:p>
    <w:p w:rsidR="00214F7B" w:rsidRDefault="00214F7B" w:rsidP="00214F7B">
      <w:pPr>
        <w:pStyle w:val="af1"/>
        <w:bidi/>
        <w:spacing w:after="360" w:line="360" w:lineRule="auto"/>
        <w:ind w:left="941" w:right="709"/>
        <w:jc w:val="both"/>
        <w:rPr>
          <w:rFonts w:ascii="Times New Roman" w:hAnsi="Times New Roman" w:cs="David"/>
          <w:b/>
          <w:bCs/>
          <w:noProof/>
          <w:color w:val="000000"/>
          <w:sz w:val="26"/>
          <w:szCs w:val="26"/>
          <w:rtl/>
          <w:lang w:bidi="he-IL"/>
        </w:rPr>
      </w:pPr>
      <w:r>
        <w:rPr>
          <w:rFonts w:ascii="Times New Roman" w:hAnsi="Times New Roman" w:cs="David"/>
          <w:b/>
          <w:bCs/>
          <w:noProof/>
          <w:color w:val="000000"/>
          <w:sz w:val="26"/>
          <w:szCs w:val="26"/>
          <w:rtl/>
          <w:lang w:bidi="he-IL"/>
        </w:rPr>
        <w:t>לשאלת ביהמ"ש, מה יהיה המצב אם תהיה הכרעת דין והצד שלא יהיה מרוצה, מאותה הכרעה, יגיש ערעור על הכרעת הדין, אני משיבה – אני סבורה שעד שלא יוכרע באופן סופי ומוחלט, האם החייב ביצע עבירות לפי פקודת פשיטת רגל או לא, עמדתו של הכנ"ר תהיה שבשלב הזה לא ניתן יהיה לתת הפטר. חברי דיבר על תכליות מושא פשיטת הרגל, אך התכלית הבסיסית של המוסד כדי שחייב בפשיטת הרגל, יזכה להינות מאותם הטבות שמעניק המוסד הזה, הוא תום ליבו של החייב, גם בהתנהלות בהליך, ולכן אני לא רואה מצב שתלוי כתב אישום כנגד חייב בגין עבירות פשיטת רגל, ובית המשפט של פשיטת הרגל מעניק לו הפטר מחובותיו."</w:t>
      </w:r>
    </w:p>
    <w:p w:rsidR="00214F7B" w:rsidRDefault="00214F7B" w:rsidP="00214F7B">
      <w:pPr>
        <w:pStyle w:val="af1"/>
        <w:rPr>
          <w:rFonts w:ascii="David" w:hAnsi="David" w:cs="David"/>
          <w:sz w:val="26"/>
          <w:szCs w:val="26"/>
          <w:rt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בהמשך לאמור, התייחס הכנ"ר גם לעניין החקירה המתנהלת כך (פרוטוקול, ע' 236, ש' 27</w:t>
      </w:r>
      <w:r w:rsidR="00197E6E">
        <w:rPr>
          <w:rFonts w:ascii="David" w:hAnsi="David" w:cs="David" w:hint="cs"/>
          <w:sz w:val="26"/>
          <w:szCs w:val="26"/>
          <w:rtl/>
          <w:lang w:bidi="he-IL"/>
        </w:rPr>
        <w:t>)</w:t>
      </w:r>
      <w:r>
        <w:rPr>
          <w:rFonts w:ascii="David" w:hAnsi="David" w:cs="David"/>
          <w:sz w:val="26"/>
          <w:szCs w:val="26"/>
          <w:rtl/>
          <w:lang w:bidi="he-IL"/>
        </w:rPr>
        <w:t>:</w:t>
      </w:r>
    </w:p>
    <w:p w:rsidR="00214F7B" w:rsidRDefault="00214F7B" w:rsidP="00214F7B">
      <w:pPr>
        <w:pStyle w:val="af1"/>
        <w:bidi/>
        <w:spacing w:after="360" w:line="360" w:lineRule="auto"/>
        <w:ind w:left="941" w:right="709"/>
        <w:jc w:val="both"/>
        <w:rPr>
          <w:rFonts w:ascii="David" w:hAnsi="David" w:cs="David"/>
          <w:sz w:val="26"/>
          <w:szCs w:val="26"/>
          <w:rtl/>
          <w:lang w:bidi="he-IL"/>
        </w:rPr>
      </w:pPr>
      <w:r>
        <w:rPr>
          <w:rFonts w:ascii="David" w:hAnsi="David" w:cs="David"/>
          <w:sz w:val="26"/>
          <w:szCs w:val="26"/>
          <w:rtl/>
          <w:lang w:bidi="he-IL"/>
        </w:rPr>
        <w:t>"</w:t>
      </w:r>
      <w:r>
        <w:rPr>
          <w:rFonts w:ascii="David" w:hAnsi="David" w:cs="David"/>
          <w:bCs/>
          <w:sz w:val="26"/>
          <w:szCs w:val="26"/>
          <w:rtl/>
          <w:lang w:bidi="he-IL"/>
        </w:rPr>
        <w:t>... אין מדובר, לא בתעלול, לא בניסיון לתעלול. לאף אחד בכונס הרשמי שום עניין לרדוף את החייב או להאריך את ההליכים. בעצם ראשיתו של המסע הזה בבקשת ההפטר שהחייב הגיש ובדוח קטן של חוק</w:t>
      </w:r>
      <w:r w:rsidR="00197E6E">
        <w:rPr>
          <w:rFonts w:ascii="David" w:hAnsi="David" w:cs="David" w:hint="cs"/>
          <w:bCs/>
          <w:sz w:val="26"/>
          <w:szCs w:val="26"/>
          <w:rtl/>
          <w:lang w:bidi="he-IL"/>
        </w:rPr>
        <w:t>ר</w:t>
      </w:r>
      <w:r>
        <w:rPr>
          <w:rFonts w:ascii="David" w:hAnsi="David" w:cs="David"/>
          <w:bCs/>
          <w:sz w:val="26"/>
          <w:szCs w:val="26"/>
          <w:rtl/>
          <w:lang w:bidi="he-IL"/>
        </w:rPr>
        <w:t xml:space="preserve"> פרטי שהוגש ביחד עם התסקיר, והצביע על כל מיני ממצאים שלא תאמו את הדוחות החודשיים שהגיש החייב, את הטענות של החייב בבקשת ההפטר, ואז המותב שלח אותנו להעמיק את החקירה. נכון, הדבר הזה לקח זמן. מטיבם של חקירות הן מתגלגלות. הן מתפ</w:t>
      </w:r>
      <w:r w:rsidR="00197E6E">
        <w:rPr>
          <w:rFonts w:ascii="David" w:hAnsi="David" w:cs="David" w:hint="cs"/>
          <w:bCs/>
          <w:sz w:val="26"/>
          <w:szCs w:val="26"/>
          <w:rtl/>
          <w:lang w:bidi="he-IL"/>
        </w:rPr>
        <w:t>ת</w:t>
      </w:r>
      <w:r>
        <w:rPr>
          <w:rFonts w:ascii="David" w:hAnsi="David" w:cs="David"/>
          <w:bCs/>
          <w:sz w:val="26"/>
          <w:szCs w:val="26"/>
          <w:rtl/>
          <w:lang w:bidi="he-IL"/>
        </w:rPr>
        <w:t>חות בהתאם לממצאים שמתגלים בהן, ולכן הגיש הכונס הרשמי את הדוחות החסויים לכבוד בית המשפט מעת לעת, הגיש בקשות שונות שהתלוו להן, והחקירה המשיכה והיא לא תעלול...</w:t>
      </w:r>
      <w:r>
        <w:rPr>
          <w:rFonts w:ascii="David" w:hAnsi="David" w:cs="David"/>
          <w:sz w:val="26"/>
          <w:szCs w:val="26"/>
          <w:rtl/>
          <w:lang w:bidi="he-IL"/>
        </w:rPr>
        <w:t>".</w:t>
      </w:r>
    </w:p>
    <w:p w:rsidR="00214F7B" w:rsidRDefault="00214F7B" w:rsidP="00214F7B">
      <w:pPr>
        <w:pStyle w:val="af1"/>
        <w:bidi/>
        <w:spacing w:after="360" w:line="360" w:lineRule="auto"/>
        <w:ind w:left="941" w:right="709"/>
        <w:jc w:val="both"/>
        <w:rPr>
          <w:rFonts w:ascii="David" w:hAnsi="David" w:cs="David"/>
          <w:b/>
          <w:bCs/>
          <w:sz w:val="26"/>
          <w:szCs w:val="26"/>
          <w:rtl/>
          <w:lang w:bidi="he-IL"/>
        </w:rPr>
      </w:pPr>
    </w:p>
    <w:p w:rsidR="00214F7B" w:rsidRDefault="00214F7B" w:rsidP="00214F7B">
      <w:pPr>
        <w:pStyle w:val="af1"/>
        <w:numPr>
          <w:ilvl w:val="0"/>
          <w:numId w:val="2"/>
        </w:numPr>
        <w:bidi/>
        <w:spacing w:after="360" w:line="360" w:lineRule="auto"/>
        <w:ind w:left="509"/>
        <w:jc w:val="both"/>
        <w:rPr>
          <w:rFonts w:ascii="David" w:hAnsi="David" w:cs="David"/>
          <w:b/>
          <w:sz w:val="26"/>
          <w:szCs w:val="26"/>
          <w:rtl/>
        </w:rPr>
      </w:pPr>
      <w:r>
        <w:rPr>
          <w:rFonts w:ascii="David" w:hAnsi="David" w:cs="David"/>
          <w:b/>
          <w:sz w:val="26"/>
          <w:szCs w:val="26"/>
          <w:rtl/>
          <w:lang w:bidi="he-IL"/>
        </w:rPr>
        <w:t>בהמשך לדיון שהתקיים והובא בהרחבה לעיל, אסקור בקצרה את עמדות הכנ"ר והמנהל המיוחד שהוגשו בעקבות בקשת ההפטר, לאחר מכן, אדון ואכריע בסוגיות שעל הפרק ואתן הוראות להמשך.</w:t>
      </w:r>
    </w:p>
    <w:p w:rsidR="00214F7B" w:rsidRDefault="00214F7B" w:rsidP="00197E6E">
      <w:pPr>
        <w:spacing w:after="360" w:line="360" w:lineRule="auto"/>
        <w:jc w:val="both"/>
        <w:rPr>
          <w:rFonts w:ascii="David" w:hAnsi="David"/>
          <w:noProof w:val="0"/>
          <w:sz w:val="26"/>
          <w:szCs w:val="26"/>
          <w:u w:val="single"/>
          <w:rtl/>
        </w:rPr>
      </w:pPr>
      <w:r>
        <w:rPr>
          <w:rFonts w:ascii="David" w:hAnsi="David"/>
          <w:b/>
          <w:bCs/>
          <w:noProof w:val="0"/>
          <w:sz w:val="26"/>
          <w:szCs w:val="26"/>
          <w:u w:val="single"/>
          <w:rtl/>
        </w:rPr>
        <w:t>עמדת הכנ"ר</w:t>
      </w:r>
    </w:p>
    <w:p w:rsidR="00214F7B" w:rsidRDefault="00214F7B" w:rsidP="00197E6E">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 xml:space="preserve">תסקיר הכונס בנוגע לבקשה הוגש ביום 9.5.18. במסגרתו סקר הכונס את ההליכים שהתקיימו ואת המסד העובדתי שנוגע להליכי פשיטת הרגל של החייב, הליכי מימוש הנכסים שבוצעו במסגרת ההליך וכלל את תגובתו לבקשה. </w:t>
      </w:r>
    </w:p>
    <w:p w:rsidR="00214F7B" w:rsidRPr="00197E6E"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במסגרת זו סקר הכנ"ר את "חומרת התנהלותו של החייב לפני קריסת החברות ופשיטת הרגל" ופירט במסגרת זו את ההליך הפלילי הנ"ל ואת הרשעתו של החייב בהליך זה והשלכתו לענייננו.</w:t>
      </w:r>
    </w:p>
    <w:p w:rsidR="00214F7B"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 xml:space="preserve">בפרק ד' לעמדת הכנ"ר נטען, בניגוד לטענת החייב, כי החייב לא שיתף פעולה עם המנהל המיוחד ועם בעלי התפקידים הנוספים בהליך. בקשר לכך נטען כי (סעיף 27 לתגובת הכנ"ר): </w:t>
      </w:r>
      <w:r>
        <w:rPr>
          <w:rFonts w:ascii="David" w:hAnsi="David" w:cs="David"/>
          <w:b/>
          <w:bCs/>
          <w:sz w:val="26"/>
          <w:szCs w:val="26"/>
          <w:rtl/>
          <w:lang w:bidi="he-IL"/>
        </w:rPr>
        <w:t>"... בשנת 2008 לאחר הסגרתו של החייב לישראל נחקר החייב ארוכות על ידי המנהל המיוחד – בחקירות המתומללות על פני למעלה מ-700 עמודים. אף שהמנהל המיוחד ביקש מהחייב כי הוא יגלה כל מקור שיכול להכניס כסף לקופת פשיטת הרגל. בפועל למעשה החייב כמעט לא גילה דבר מהעילות שבסופו של דבר התבררו, ואף להיפך ניסה להסתיר מידע שיכול לסייע למנהל המיוחד, להקשות עליו ולהטעותו, כשהבירור "נגע" לקרובי משפחתו".</w:t>
      </w:r>
      <w:r>
        <w:rPr>
          <w:rFonts w:ascii="David" w:hAnsi="David" w:cs="David"/>
          <w:sz w:val="26"/>
          <w:szCs w:val="26"/>
          <w:rtl/>
          <w:lang w:bidi="he-IL"/>
        </w:rPr>
        <w:t xml:space="preserve"> כך למשל מתאר הכנ"ר את עניין הבית בעין כרם שהיה רשום על שם רעיית החייב, כאשר בדיעבד התברר כי </w:t>
      </w:r>
      <w:r w:rsidR="00197E6E">
        <w:rPr>
          <w:rFonts w:ascii="David" w:hAnsi="David" w:cs="David" w:hint="cs"/>
          <w:sz w:val="26"/>
          <w:szCs w:val="26"/>
          <w:rtl/>
          <w:lang w:bidi="he-IL"/>
        </w:rPr>
        <w:t xml:space="preserve">הוא </w:t>
      </w:r>
      <w:r>
        <w:rPr>
          <w:rFonts w:ascii="David" w:hAnsi="David" w:cs="David"/>
          <w:sz w:val="26"/>
          <w:szCs w:val="26"/>
          <w:rtl/>
          <w:lang w:bidi="he-IL"/>
        </w:rPr>
        <w:t>העביר לה את הנכס ללא תמורה.</w:t>
      </w:r>
    </w:p>
    <w:p w:rsidR="00214F7B"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197E6E">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 xml:space="preserve">הכנ"ר </w:t>
      </w:r>
      <w:r w:rsidR="00197E6E">
        <w:rPr>
          <w:rFonts w:ascii="David" w:hAnsi="David" w:cs="David" w:hint="cs"/>
          <w:sz w:val="26"/>
          <w:szCs w:val="26"/>
          <w:rtl/>
          <w:lang w:bidi="he-IL"/>
        </w:rPr>
        <w:t>ה</w:t>
      </w:r>
      <w:r>
        <w:rPr>
          <w:rFonts w:ascii="David" w:hAnsi="David" w:cs="David"/>
          <w:sz w:val="26"/>
          <w:szCs w:val="26"/>
          <w:rtl/>
          <w:lang w:bidi="he-IL"/>
        </w:rPr>
        <w:t>משיך ותאר מקרים נוספים בהם החייב לא שיתף פעולה עם המנהל המיוחד באופן מלא, עד כדי הסתרת נכסים והתנהלות חסרת תום לב מצידו של החייב. בין השאר מפנה הכנ"ר להחלטה בבקשה 43 בתיק דנן, בעניין הדרישה למזונות הקטינים שהגישה רעייתו של החייב.</w:t>
      </w:r>
    </w:p>
    <w:p w:rsidR="00214F7B"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197E6E">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 xml:space="preserve">במסגרת התסקיר עולה כי מצבת החובות כנגד החייב </w:t>
      </w:r>
      <w:r w:rsidR="00197E6E">
        <w:rPr>
          <w:rFonts w:ascii="David" w:hAnsi="David" w:cs="David" w:hint="cs"/>
          <w:sz w:val="26"/>
          <w:szCs w:val="26"/>
          <w:rtl/>
          <w:lang w:bidi="he-IL"/>
        </w:rPr>
        <w:t xml:space="preserve">הינה בסדר גודל של </w:t>
      </w:r>
      <w:r>
        <w:rPr>
          <w:rFonts w:ascii="David" w:hAnsi="David" w:cs="David"/>
          <w:sz w:val="26"/>
          <w:szCs w:val="26"/>
          <w:rtl/>
          <w:lang w:bidi="he-IL"/>
        </w:rPr>
        <w:t>1.8 מיליארד שקלים. במסגרת ס' 32 פורטו בטבלה החובות לנושים השונים, ביניהם לקבוצת חברות חפציבה, אשר כאמור לעיל במסגרת ע"ר 313/10 הוכרע כי החייב מחוייב בכל חובותיהן בהתאם לס' 373 לפקוד</w:t>
      </w:r>
      <w:r w:rsidR="00197E6E">
        <w:rPr>
          <w:rFonts w:ascii="David" w:hAnsi="David" w:cs="David" w:hint="cs"/>
          <w:sz w:val="26"/>
          <w:szCs w:val="26"/>
          <w:rtl/>
          <w:lang w:bidi="he-IL"/>
        </w:rPr>
        <w:t xml:space="preserve">ת החברות </w:t>
      </w:r>
      <w:r>
        <w:rPr>
          <w:rFonts w:ascii="David" w:hAnsi="David" w:cs="David"/>
          <w:sz w:val="26"/>
          <w:szCs w:val="26"/>
          <w:rtl/>
          <w:lang w:bidi="he-IL"/>
        </w:rPr>
        <w:t xml:space="preserve">בסכום של 1.1 מיליארד שקלים (ולטענת הכנ"ר היקפם המלא טרם ידוע). </w:t>
      </w:r>
    </w:p>
    <w:p w:rsidR="00214F7B" w:rsidRDefault="00214F7B" w:rsidP="00214F7B">
      <w:pPr>
        <w:pStyle w:val="af1"/>
        <w:rPr>
          <w:rFonts w:ascii="David" w:hAnsi="David" w:cs="David"/>
          <w:sz w:val="26"/>
          <w:szCs w:val="26"/>
          <w:lang w:bidi="he-IL"/>
        </w:rPr>
      </w:pPr>
    </w:p>
    <w:p w:rsidR="00214F7B" w:rsidRDefault="00214F7B" w:rsidP="00197E6E">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הכנ"ר מבקש כי אקבע במסגרת הבקשה דנן כי החייב נושא במלוא חובות קבוצת חברות חפציבה וכי החובות שנקבעו בפסק דינו של כב' השופט צבן, בהתאם להוראות ס' 373 לפקוד</w:t>
      </w:r>
      <w:r w:rsidR="00197E6E">
        <w:rPr>
          <w:rFonts w:ascii="David" w:hAnsi="David" w:cs="David" w:hint="cs"/>
          <w:sz w:val="26"/>
          <w:szCs w:val="26"/>
          <w:rtl/>
          <w:lang w:bidi="he-IL"/>
        </w:rPr>
        <w:t>ת</w:t>
      </w:r>
      <w:r>
        <w:rPr>
          <w:rFonts w:ascii="David" w:hAnsi="David" w:cs="David"/>
          <w:sz w:val="26"/>
          <w:szCs w:val="26"/>
          <w:rtl/>
          <w:lang w:bidi="he-IL"/>
        </w:rPr>
        <w:t xml:space="preserve"> </w:t>
      </w:r>
      <w:r w:rsidR="00197E6E">
        <w:rPr>
          <w:rFonts w:ascii="David" w:hAnsi="David" w:cs="David" w:hint="cs"/>
          <w:sz w:val="26"/>
          <w:szCs w:val="26"/>
          <w:rtl/>
          <w:lang w:bidi="he-IL"/>
        </w:rPr>
        <w:t xml:space="preserve">החברות </w:t>
      </w:r>
      <w:r>
        <w:rPr>
          <w:rFonts w:ascii="David" w:hAnsi="David" w:cs="David"/>
          <w:sz w:val="26"/>
          <w:szCs w:val="26"/>
          <w:rtl/>
          <w:lang w:bidi="he-IL"/>
        </w:rPr>
        <w:t>לא יכללו במסגרת ההפטר המבוקש, גם אם תתקבל הבקשה.</w:t>
      </w:r>
    </w:p>
    <w:p w:rsidR="00214F7B" w:rsidRDefault="00214F7B" w:rsidP="00214F7B">
      <w:pPr>
        <w:pStyle w:val="af1"/>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הכנ"ר טען במסגרת עמדתו כי במהלך הדרך עלה החשד כי החייב אינו עומד בתנאי הכינוס, כך לגבי מקומות העבודה שמנפיקים לו תלושים, כך לגבי רמת החיים הגבוהה בה הוא חי עם משפחתו וכו'.</w:t>
      </w:r>
    </w:p>
    <w:p w:rsidR="00214F7B" w:rsidRDefault="00214F7B" w:rsidP="00214F7B">
      <w:pPr>
        <w:pStyle w:val="af1"/>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במסגרת בקשה 94 (שהוגשה כבקשה חסויה) עתר הכנ"ר לאשר לו להעסיק חוקר פרטי על מנת שיפיק עבור הכנ"ר דו"ח לגבי החייב ופעולותיו. כאמור, דו"ח החוקר הביא לפתיחת החקירה הפלילית. אביא במסגרת זו את מסקנות החוקר הפרטי כפי שהובאו על-ידי הכנ"ר במסגרת ס' 39 לעמדתו בנוגע לבקשה.</w:t>
      </w:r>
    </w:p>
    <w:p w:rsidR="00214F7B" w:rsidRDefault="00214F7B" w:rsidP="00214F7B">
      <w:pPr>
        <w:pStyle w:val="af1"/>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בכל ימי התצפית לא הגיע החייב למקומות העבודה שנטען כי הוא מועסק על-ידם.</w:t>
      </w:r>
    </w:p>
    <w:p w:rsidR="00214F7B" w:rsidRDefault="00214F7B" w:rsidP="00214F7B">
      <w:pPr>
        <w:pStyle w:val="af1"/>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במחלקת כוח אדם של אחת המעסיקות (מזרני כפר סבא) לא הכירו עובד בשמו של החייב.</w:t>
      </w:r>
    </w:p>
    <w:p w:rsidR="00214F7B" w:rsidRDefault="00214F7B" w:rsidP="00214F7B">
      <w:pPr>
        <w:pStyle w:val="af1"/>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בחברה הנוספת (שירה הפקות בע"מ) חששו לשתף את החוקר בפרטים וסירבו לשתף עמו פעולה.</w:t>
      </w:r>
    </w:p>
    <w:p w:rsidR="00214F7B" w:rsidRDefault="00214F7B" w:rsidP="00214F7B">
      <w:pPr>
        <w:pStyle w:val="af1"/>
        <w:rPr>
          <w:rFonts w:ascii="David" w:hAnsi="David" w:cs="David"/>
          <w:sz w:val="26"/>
          <w:szCs w:val="26"/>
          <w:lang w:bidi="he-IL"/>
        </w:rPr>
      </w:pPr>
    </w:p>
    <w:p w:rsidR="00214F7B" w:rsidRDefault="00214F7B" w:rsidP="00197E6E">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 xml:space="preserve">מהחקירה עלה כי החייב אינו מנהל אורח חיים המתאים לפושט רגל. המדובר בכך שהוא מתגורר בבית פרטי ברעננה, ליד ביתו חונים מספר </w:t>
      </w:r>
      <w:r w:rsidR="00197E6E">
        <w:rPr>
          <w:rFonts w:ascii="David" w:hAnsi="David" w:cs="David" w:hint="cs"/>
          <w:sz w:val="26"/>
          <w:szCs w:val="26"/>
          <w:rtl/>
          <w:lang w:bidi="he-IL"/>
        </w:rPr>
        <w:t xml:space="preserve">כלי רכב </w:t>
      </w:r>
      <w:r>
        <w:rPr>
          <w:rFonts w:ascii="David" w:hAnsi="David" w:cs="David"/>
          <w:sz w:val="26"/>
          <w:szCs w:val="26"/>
          <w:rtl/>
          <w:lang w:bidi="he-IL"/>
        </w:rPr>
        <w:t>של בני המשפחה. במכלול הדברים עלה כי החייב אינו מועסק על-ידי מי שהוא מדווח עלי</w:t>
      </w:r>
      <w:r w:rsidR="00197E6E">
        <w:rPr>
          <w:rFonts w:ascii="David" w:hAnsi="David" w:cs="David" w:hint="cs"/>
          <w:sz w:val="26"/>
          <w:szCs w:val="26"/>
          <w:rtl/>
          <w:lang w:bidi="he-IL"/>
        </w:rPr>
        <w:t>ו</w:t>
      </w:r>
      <w:r>
        <w:rPr>
          <w:rFonts w:ascii="David" w:hAnsi="David" w:cs="David"/>
          <w:sz w:val="26"/>
          <w:szCs w:val="26"/>
          <w:rtl/>
          <w:lang w:bidi="he-IL"/>
        </w:rPr>
        <w:t xml:space="preserve"> כמעסיקו, אינו חי ברמת חיים מתאימה והדוחות שהוגשו לכנ"ר הציגו מצגי שווא (לכאורה). הכנ"ר ביקש שלא לפטור את החייב מחובותיו בהתאם לאמור ובהתאם להוראות ס' 69(א)(2) לפקודה.</w:t>
      </w:r>
    </w:p>
    <w:p w:rsidR="00214F7B" w:rsidRDefault="00214F7B" w:rsidP="00214F7B">
      <w:pPr>
        <w:spacing w:after="360" w:line="360" w:lineRule="auto"/>
        <w:jc w:val="both"/>
        <w:rPr>
          <w:rFonts w:ascii="David" w:hAnsi="David"/>
          <w:b/>
          <w:bCs/>
          <w:noProof w:val="0"/>
          <w:sz w:val="26"/>
          <w:szCs w:val="26"/>
          <w:u w:val="single"/>
        </w:rPr>
      </w:pPr>
      <w:r>
        <w:rPr>
          <w:rFonts w:ascii="David" w:hAnsi="David"/>
          <w:noProof w:val="0"/>
          <w:sz w:val="26"/>
          <w:szCs w:val="26"/>
          <w:rtl/>
        </w:rPr>
        <w:t xml:space="preserve"> </w:t>
      </w:r>
      <w:r>
        <w:rPr>
          <w:rFonts w:ascii="David" w:hAnsi="David" w:hint="cs"/>
          <w:b/>
          <w:bCs/>
          <w:noProof w:val="0"/>
          <w:sz w:val="26"/>
          <w:szCs w:val="26"/>
          <w:u w:val="single"/>
          <w:rtl/>
        </w:rPr>
        <w:t>עמדת רשות המיסים</w:t>
      </w:r>
    </w:p>
    <w:p w:rsidR="00214F7B" w:rsidRDefault="00214F7B" w:rsidP="00197E6E">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במסגרת הליכי הכינוס</w:t>
      </w:r>
      <w:r w:rsidR="00197E6E">
        <w:rPr>
          <w:rFonts w:ascii="David" w:hAnsi="David" w:cs="David" w:hint="cs"/>
          <w:sz w:val="26"/>
          <w:szCs w:val="26"/>
          <w:rtl/>
          <w:lang w:bidi="he-IL"/>
        </w:rPr>
        <w:t>,</w:t>
      </w:r>
      <w:r>
        <w:rPr>
          <w:rFonts w:ascii="David" w:hAnsi="David" w:cs="David"/>
          <w:sz w:val="26"/>
          <w:szCs w:val="26"/>
          <w:rtl/>
          <w:lang w:bidi="he-IL"/>
        </w:rPr>
        <w:t xml:space="preserve"> רשות המיסים היא אחת מנושיו הגדולים של החייב. בקשר אליה נקבע (וראו בקשר לכך ס' 32 לעמדת הכנ"ר) כי חובותיו של החייב אליה מסתכמים בסך של </w:t>
      </w:r>
      <w:r w:rsidR="00197E6E">
        <w:rPr>
          <w:rFonts w:ascii="David" w:hAnsi="David" w:cs="David" w:hint="cs"/>
          <w:sz w:val="26"/>
          <w:szCs w:val="26"/>
          <w:rtl/>
          <w:lang w:bidi="he-IL"/>
        </w:rPr>
        <w:t>כ-76 מיליון</w:t>
      </w:r>
      <w:r>
        <w:rPr>
          <w:rFonts w:ascii="David" w:hAnsi="David" w:cs="David"/>
          <w:sz w:val="26"/>
          <w:szCs w:val="26"/>
          <w:rtl/>
          <w:lang w:bidi="he-IL"/>
        </w:rPr>
        <w:t xml:space="preserve"> שקלים, מתוכם </w:t>
      </w:r>
      <w:r w:rsidR="00197E6E">
        <w:rPr>
          <w:rFonts w:ascii="David" w:hAnsi="David" w:cs="David" w:hint="cs"/>
          <w:sz w:val="26"/>
          <w:szCs w:val="26"/>
          <w:rtl/>
          <w:lang w:bidi="he-IL"/>
        </w:rPr>
        <w:t>כ- 70 מיליון</w:t>
      </w:r>
      <w:r>
        <w:rPr>
          <w:rFonts w:ascii="David" w:hAnsi="David" w:cs="David"/>
          <w:sz w:val="26"/>
          <w:szCs w:val="26"/>
          <w:rtl/>
          <w:lang w:bidi="he-IL"/>
        </w:rPr>
        <w:t xml:space="preserve"> שקלים הם בדין קדימה.</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D032C6">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רשות המיסים הגישה את תגובתה ביום 9.5.18. במסגרת זו טענה הרשות כי היא נושה מהותי של החייב וכי היא מתנגדת לבקשת ההפטר. עוד נטען כי לאור תסקיר הכונס (בסעיף 39 שלו) עולה כי התנהלות החייב </w:t>
      </w:r>
      <w:r w:rsidR="00197E6E">
        <w:rPr>
          <w:rFonts w:ascii="David" w:hAnsi="David" w:cs="David" w:hint="cs"/>
          <w:sz w:val="26"/>
          <w:szCs w:val="26"/>
          <w:rtl/>
          <w:lang w:bidi="he-IL"/>
        </w:rPr>
        <w:t xml:space="preserve">מתאפיינת </w:t>
      </w:r>
      <w:r>
        <w:rPr>
          <w:rFonts w:ascii="David" w:hAnsi="David" w:cs="David"/>
          <w:sz w:val="26"/>
          <w:szCs w:val="26"/>
          <w:rtl/>
          <w:lang w:bidi="he-IL"/>
        </w:rPr>
        <w:t xml:space="preserve">בחוסר תום לב והדבר מצריך המשך בירור עם הגורמים הרלוונטיים ברשות וכי ישנה אפשרות כי קיימת השלכת מס או עבירה פלילית הן על-ידי החייב והן על-ידי מעסיקיו. לאור האמור, </w:t>
      </w:r>
      <w:r w:rsidR="00D032C6">
        <w:rPr>
          <w:rFonts w:ascii="David" w:hAnsi="David" w:cs="David" w:hint="cs"/>
          <w:sz w:val="26"/>
          <w:szCs w:val="26"/>
          <w:rtl/>
          <w:lang w:bidi="he-IL"/>
        </w:rPr>
        <w:t xml:space="preserve">ביקשה </w:t>
      </w:r>
      <w:r>
        <w:rPr>
          <w:rFonts w:ascii="David" w:hAnsi="David" w:cs="David"/>
          <w:sz w:val="26"/>
          <w:szCs w:val="26"/>
          <w:rtl/>
          <w:lang w:bidi="he-IL"/>
        </w:rPr>
        <w:t xml:space="preserve"> רשות המיסים לדחות את הבקשה להפטר.</w:t>
      </w:r>
    </w:p>
    <w:p w:rsidR="00214F7B" w:rsidRDefault="00214F7B" w:rsidP="00D032C6">
      <w:pPr>
        <w:spacing w:after="360" w:line="360" w:lineRule="auto"/>
        <w:jc w:val="both"/>
        <w:rPr>
          <w:rFonts w:ascii="David" w:hAnsi="David"/>
          <w:b/>
          <w:bCs/>
          <w:noProof w:val="0"/>
          <w:sz w:val="26"/>
          <w:szCs w:val="26"/>
          <w:u w:val="single"/>
          <w:rtl/>
        </w:rPr>
      </w:pPr>
      <w:r>
        <w:rPr>
          <w:rFonts w:ascii="David" w:hAnsi="David"/>
          <w:b/>
          <w:bCs/>
          <w:noProof w:val="0"/>
          <w:sz w:val="26"/>
          <w:szCs w:val="26"/>
          <w:u w:val="single"/>
          <w:rtl/>
        </w:rPr>
        <w:t>עמדת המנהל המיוחד</w:t>
      </w: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המנהל המיוחד הגיש את עמדתו ביום 7.8.18. במסגרת עמדתו טען המנהל המיוחד כי אין תכלית לבקשתו של החייב וזאת לאור הוראות הפקודה אשר קובעות במפורש שלא יינתן הפטר לחובות שנוצרו בעקבות מרמה. בענייננו, מדובר בחובות שיוחסו לחייב בהתאם לפסק דינו של כב' השופט י' צבן במסגרת ע"ר 313/10. לטענת המנהל המיוחד (בסעיפים 3-2 לתגובתו) "</w:t>
      </w:r>
      <w:r>
        <w:rPr>
          <w:rFonts w:ascii="David" w:hAnsi="David" w:cs="David"/>
          <w:b/>
          <w:bCs/>
          <w:sz w:val="26"/>
          <w:szCs w:val="26"/>
          <w:rtl/>
          <w:lang w:bidi="he-IL"/>
        </w:rPr>
        <w:t>ככל שינתן הפטר ימשיכו החברות מקבוצת חפציבה במאמציהן לגבות את החוב לפי פסק הדין באמצעות האפשרויות שהדין מעמיד לרשותן, ובכלל זה הליכי הוצאה לפועל... אשר על כן, נראה שבקשת ההפטר אינה אלא בקשת סרק, שכן גם במקרה שתתקבל, הדבר לא יועיל לאמיתו של דבר לפושט הרגל...".</w:t>
      </w:r>
    </w:p>
    <w:p w:rsidR="00214F7B"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לטענת המנהל המיוחד קבלת בקשת ההפטר לגבי חובותיו לקבוצת חברות חפציבה תגרום לשתי התוצאות הבאות (ס' 3 לתגובתו):</w:t>
      </w:r>
    </w:p>
    <w:p w:rsidR="00214F7B" w:rsidRDefault="00214F7B" w:rsidP="00214F7B">
      <w:pPr>
        <w:pStyle w:val="af1"/>
        <w:rPr>
          <w:rFonts w:ascii="David" w:hAnsi="David" w:cs="David"/>
          <w:sz w:val="26"/>
          <w:szCs w:val="26"/>
          <w:lang w:bidi="he-IL"/>
        </w:rPr>
      </w:pPr>
    </w:p>
    <w:p w:rsidR="00214F7B" w:rsidRDefault="00214F7B" w:rsidP="00326D06">
      <w:pPr>
        <w:pStyle w:val="af1"/>
        <w:bidi/>
        <w:spacing w:after="360" w:line="360" w:lineRule="auto"/>
        <w:ind w:left="869"/>
        <w:jc w:val="both"/>
        <w:rPr>
          <w:rFonts w:ascii="David" w:hAnsi="David" w:cs="David"/>
          <w:bCs/>
          <w:sz w:val="26"/>
          <w:szCs w:val="26"/>
          <w:rtl/>
          <w:lang w:bidi="he-IL"/>
        </w:rPr>
      </w:pPr>
      <w:r>
        <w:rPr>
          <w:rFonts w:ascii="David" w:hAnsi="David" w:cs="David"/>
          <w:bCs/>
          <w:sz w:val="26"/>
          <w:szCs w:val="26"/>
          <w:rtl/>
          <w:lang w:bidi="he-IL"/>
        </w:rPr>
        <w:t>"1. הגבייה העתידית תהיה לזכות החברות מקבוצת חפצ</w:t>
      </w:r>
      <w:r w:rsidR="00326D06">
        <w:rPr>
          <w:rFonts w:ascii="David" w:hAnsi="David" w:cs="David" w:hint="cs"/>
          <w:bCs/>
          <w:sz w:val="26"/>
          <w:szCs w:val="26"/>
          <w:rtl/>
          <w:lang w:bidi="he-IL"/>
        </w:rPr>
        <w:t>י</w:t>
      </w:r>
      <w:r>
        <w:rPr>
          <w:rFonts w:ascii="David" w:hAnsi="David" w:cs="David"/>
          <w:bCs/>
          <w:sz w:val="26"/>
          <w:szCs w:val="26"/>
          <w:rtl/>
          <w:lang w:bidi="he-IL"/>
        </w:rPr>
        <w:t>בה בלבד ולא לזכות נושים אחרים (ההפטר יחסום לכאורה את הנושים האחרים);</w:t>
      </w:r>
    </w:p>
    <w:p w:rsidR="00214F7B" w:rsidRDefault="00214F7B" w:rsidP="00214F7B">
      <w:pPr>
        <w:pStyle w:val="af1"/>
        <w:bidi/>
        <w:spacing w:after="360" w:line="360" w:lineRule="auto"/>
        <w:ind w:left="869"/>
        <w:jc w:val="both"/>
        <w:rPr>
          <w:rFonts w:ascii="David" w:hAnsi="David" w:cs="David"/>
          <w:bCs/>
          <w:sz w:val="26"/>
          <w:szCs w:val="26"/>
          <w:rtl/>
          <w:lang w:bidi="he-IL"/>
        </w:rPr>
      </w:pPr>
      <w:r>
        <w:rPr>
          <w:rFonts w:ascii="David" w:hAnsi="David" w:cs="David"/>
          <w:bCs/>
          <w:sz w:val="26"/>
          <w:szCs w:val="26"/>
          <w:rtl/>
          <w:lang w:bidi="he-IL"/>
        </w:rPr>
        <w:t>2. עלולות לחול על החברות מקבוצת חפציבה הוצאות נוספות, ובכלל זה אגרת הוצאה לפועל".</w:t>
      </w:r>
    </w:p>
    <w:p w:rsidR="00214F7B" w:rsidRDefault="00214F7B" w:rsidP="00214F7B">
      <w:pPr>
        <w:pStyle w:val="af1"/>
        <w:bidi/>
        <w:spacing w:after="360" w:line="360" w:lineRule="auto"/>
        <w:ind w:left="869"/>
        <w:jc w:val="both"/>
        <w:rPr>
          <w:rFonts w:ascii="David" w:hAnsi="David" w:cs="David"/>
          <w:b/>
          <w:bCs/>
          <w:sz w:val="26"/>
          <w:szCs w:val="26"/>
          <w:rtl/>
          <w:lang w:bidi="he-IL"/>
        </w:rPr>
      </w:pPr>
    </w:p>
    <w:p w:rsidR="00214F7B" w:rsidRDefault="00214F7B" w:rsidP="00D032C6">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 xml:space="preserve">המנהל המיוחד טען כי בעוד החייב מפנה את בית המשפט לסמכותו בהתאם לסעיף 62(ב) לפקודה, אנו עוסקים בהוראות סעיף 69(א) לפקודה ובמסגרת זו אין לבית המשפט סמכות להוראות על הפטר מחובותיו של החייב שנקבע לגביהן כי נוצרו במרמה. המנהל המיוחד מפנה בקשר לכך למספר פסקי דין שעסקו בסוגיות שכאלה (וראו בקשר לכך </w:t>
      </w:r>
      <w:r w:rsidR="00D032C6">
        <w:rPr>
          <w:rFonts w:ascii="David" w:hAnsi="David" w:cs="David" w:hint="cs"/>
          <w:sz w:val="26"/>
          <w:szCs w:val="26"/>
          <w:rtl/>
          <w:lang w:bidi="he-IL"/>
        </w:rPr>
        <w:t xml:space="preserve">את סעיף </w:t>
      </w:r>
      <w:r>
        <w:rPr>
          <w:rFonts w:ascii="David" w:hAnsi="David" w:cs="David"/>
          <w:sz w:val="26"/>
          <w:szCs w:val="26"/>
          <w:rtl/>
          <w:lang w:bidi="he-IL"/>
        </w:rPr>
        <w:t>4 לתגובת המנהל המיוחד וההפניות שבמסגרתו).</w:t>
      </w:r>
    </w:p>
    <w:p w:rsidR="00214F7B"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D032C6">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 xml:space="preserve">במסגרת תגובתו </w:t>
      </w:r>
      <w:r w:rsidR="00D032C6">
        <w:rPr>
          <w:rFonts w:ascii="David" w:hAnsi="David" w:cs="David" w:hint="cs"/>
          <w:sz w:val="26"/>
          <w:szCs w:val="26"/>
          <w:rtl/>
          <w:lang w:bidi="he-IL"/>
        </w:rPr>
        <w:t>ה</w:t>
      </w:r>
      <w:r>
        <w:rPr>
          <w:rFonts w:ascii="David" w:hAnsi="David" w:cs="David"/>
          <w:sz w:val="26"/>
          <w:szCs w:val="26"/>
          <w:rtl/>
          <w:lang w:bidi="he-IL"/>
        </w:rPr>
        <w:t xml:space="preserve">תייחס המנהל המיוחד גם לטענת החייב כי חוק חדלות </w:t>
      </w:r>
      <w:r w:rsidR="00326D06">
        <w:rPr>
          <w:rFonts w:ascii="David" w:hAnsi="David" w:cs="David" w:hint="cs"/>
          <w:sz w:val="26"/>
          <w:szCs w:val="26"/>
          <w:rtl/>
          <w:lang w:bidi="he-IL"/>
        </w:rPr>
        <w:t>הפירעו</w:t>
      </w:r>
      <w:r w:rsidR="00326D06">
        <w:rPr>
          <w:rFonts w:ascii="David" w:hAnsi="David" w:cs="David" w:hint="eastAsia"/>
          <w:sz w:val="26"/>
          <w:szCs w:val="26"/>
          <w:rtl/>
          <w:lang w:bidi="he-IL"/>
        </w:rPr>
        <w:t>ן</w:t>
      </w:r>
      <w:r>
        <w:rPr>
          <w:rFonts w:ascii="David" w:hAnsi="David" w:cs="David"/>
          <w:sz w:val="26"/>
          <w:szCs w:val="26"/>
          <w:rtl/>
          <w:lang w:bidi="he-IL"/>
        </w:rPr>
        <w:t xml:space="preserve"> החדש (שאינו חל בענייננו) צריך לבוא כשיקול לקולא במסגרת ההחלטה,</w:t>
      </w:r>
      <w:r w:rsidR="00D032C6">
        <w:rPr>
          <w:rFonts w:ascii="David" w:hAnsi="David" w:cs="David" w:hint="cs"/>
          <w:sz w:val="26"/>
          <w:szCs w:val="26"/>
          <w:rtl/>
          <w:lang w:bidi="he-IL"/>
        </w:rPr>
        <w:t xml:space="preserve"> וטען כי החוק </w:t>
      </w:r>
      <w:r>
        <w:rPr>
          <w:rFonts w:ascii="David" w:hAnsi="David" w:cs="David"/>
          <w:sz w:val="26"/>
          <w:szCs w:val="26"/>
          <w:rtl/>
          <w:lang w:bidi="he-IL"/>
        </w:rPr>
        <w:t>דווקא מרחיב את המקרים בהם לא יחול הפטר (המנהל המיוחד מפנה בקשר לאמור לעבירות הגניבה וכן, עבירות מין ואלימות).</w:t>
      </w:r>
    </w:p>
    <w:p w:rsidR="00214F7B" w:rsidRDefault="00214F7B" w:rsidP="00214F7B">
      <w:pPr>
        <w:pStyle w:val="af1"/>
        <w:rPr>
          <w:rFonts w:ascii="David" w:hAnsi="David" w:cs="David"/>
          <w:sz w:val="26"/>
          <w:szCs w:val="26"/>
          <w:lang w:bidi="he-IL"/>
        </w:rPr>
      </w:pPr>
    </w:p>
    <w:p w:rsidR="00214F7B" w:rsidRDefault="00326D06" w:rsidP="00D032C6">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hint="cs"/>
          <w:sz w:val="26"/>
          <w:szCs w:val="26"/>
          <w:rtl/>
          <w:lang w:bidi="he-IL"/>
        </w:rPr>
        <w:t>בסיפא</w:t>
      </w:r>
      <w:r w:rsidR="00214F7B">
        <w:rPr>
          <w:rFonts w:ascii="David" w:hAnsi="David" w:cs="David"/>
          <w:sz w:val="26"/>
          <w:szCs w:val="26"/>
          <w:rtl/>
          <w:lang w:bidi="he-IL"/>
        </w:rPr>
        <w:t xml:space="preserve"> של טענותיו </w:t>
      </w:r>
      <w:r w:rsidR="00D032C6">
        <w:rPr>
          <w:rFonts w:ascii="David" w:hAnsi="David" w:cs="David" w:hint="cs"/>
          <w:sz w:val="26"/>
          <w:szCs w:val="26"/>
          <w:rtl/>
          <w:lang w:bidi="he-IL"/>
        </w:rPr>
        <w:t>ביקש</w:t>
      </w:r>
      <w:r w:rsidR="00214F7B">
        <w:rPr>
          <w:rFonts w:ascii="David" w:hAnsi="David" w:cs="David"/>
          <w:sz w:val="26"/>
          <w:szCs w:val="26"/>
          <w:rtl/>
          <w:lang w:bidi="he-IL"/>
        </w:rPr>
        <w:t xml:space="preserve"> המנהל המיוחד שככל שייקבע כי החייב זכאי להפטר, יוחרגו חובות החייב שנקבע לגביהם כי הוא נושא בהן מכוח הוראות סעיף 373 לפקוד</w:t>
      </w:r>
      <w:r w:rsidR="00D032C6">
        <w:rPr>
          <w:rFonts w:ascii="David" w:hAnsi="David" w:cs="David" w:hint="cs"/>
          <w:sz w:val="26"/>
          <w:szCs w:val="26"/>
          <w:rtl/>
          <w:lang w:bidi="he-IL"/>
        </w:rPr>
        <w:t>ת החברות</w:t>
      </w:r>
      <w:r w:rsidR="00214F7B">
        <w:rPr>
          <w:rFonts w:ascii="David" w:hAnsi="David" w:cs="David"/>
          <w:sz w:val="26"/>
          <w:szCs w:val="26"/>
          <w:rtl/>
          <w:lang w:bidi="he-IL"/>
        </w:rPr>
        <w:t xml:space="preserve"> ובהתאם לפסק דינו של כב' השופט (בדימוס) צבן.</w:t>
      </w:r>
    </w:p>
    <w:p w:rsidR="00214F7B" w:rsidRDefault="00214F7B" w:rsidP="00214F7B">
      <w:pPr>
        <w:spacing w:after="360" w:line="360" w:lineRule="auto"/>
        <w:jc w:val="both"/>
        <w:rPr>
          <w:rFonts w:ascii="David" w:hAnsi="David"/>
          <w:b/>
          <w:bCs/>
          <w:noProof w:val="0"/>
          <w:sz w:val="26"/>
          <w:szCs w:val="26"/>
          <w:u w:val="single"/>
        </w:rPr>
      </w:pPr>
      <w:bookmarkStart w:id="2" w:name="_Hlk69197727"/>
      <w:r>
        <w:rPr>
          <w:rFonts w:ascii="David" w:hAnsi="David"/>
          <w:b/>
          <w:bCs/>
          <w:noProof w:val="0"/>
          <w:sz w:val="26"/>
          <w:szCs w:val="26"/>
          <w:u w:val="single"/>
          <w:rtl/>
        </w:rPr>
        <w:t>תגובות ובקשות החייב</w:t>
      </w:r>
    </w:p>
    <w:p w:rsidR="00214F7B" w:rsidRDefault="00214F7B" w:rsidP="00D032C6">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במהלך השנים שעברו מאז הגשת בקשת ההפטר ה</w:t>
      </w:r>
      <w:r w:rsidR="00D032C6">
        <w:rPr>
          <w:rFonts w:ascii="David" w:hAnsi="David" w:cs="David" w:hint="cs"/>
          <w:sz w:val="26"/>
          <w:szCs w:val="26"/>
          <w:rtl/>
          <w:lang w:bidi="he-IL"/>
        </w:rPr>
        <w:t>ג</w:t>
      </w:r>
      <w:r>
        <w:rPr>
          <w:rFonts w:ascii="David" w:hAnsi="David" w:cs="David"/>
          <w:sz w:val="26"/>
          <w:szCs w:val="26"/>
          <w:rtl/>
          <w:lang w:bidi="he-IL"/>
        </w:rPr>
        <w:t>יב החייב מספר רב של פעמים לעמדות שהוגשו מטעם הכנ"ר והמנהל המיוחד בנוגע לעניינים שעלו בעקבות הבקשה וכן בעניין החקירה שבוצעה (ואשר כללה חיפוש בביתם של בני הזוג יונה, וראו למשל בקשר לכך תגובת החייב לתשובת המנהל המיוחד בנוגע לבקשת רעייתו של החייב שהוגשה ביום 21.3.19 ועוד).</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החייב התמקד ברצונו להמשיך בחייו ולסיים את הליך הכינוס לאור גילו המתקדם וחוסר היכולת שלו להחזיר את החוב במלואו (וראו בקשר לכך את הבקשה עצמה כמפורט לעיל). עוד עולה מתגובותיו של החייב היא תחושת הנרדפות שלו </w:t>
      </w:r>
      <w:r w:rsidR="00326D06">
        <w:rPr>
          <w:rFonts w:ascii="David" w:hAnsi="David" w:cs="David" w:hint="cs"/>
          <w:sz w:val="26"/>
          <w:szCs w:val="26"/>
          <w:rtl/>
          <w:lang w:bidi="he-IL"/>
        </w:rPr>
        <w:t>והניסיו</w:t>
      </w:r>
      <w:r w:rsidR="00326D06">
        <w:rPr>
          <w:rFonts w:ascii="David" w:hAnsi="David" w:cs="David" w:hint="eastAsia"/>
          <w:sz w:val="26"/>
          <w:szCs w:val="26"/>
          <w:rtl/>
          <w:lang w:bidi="he-IL"/>
        </w:rPr>
        <w:t>ן</w:t>
      </w:r>
      <w:r>
        <w:rPr>
          <w:rFonts w:ascii="David" w:hAnsi="David" w:cs="David"/>
          <w:sz w:val="26"/>
          <w:szCs w:val="26"/>
          <w:rtl/>
          <w:lang w:bidi="he-IL"/>
        </w:rPr>
        <w:t xml:space="preserve"> "לבוא </w:t>
      </w:r>
      <w:r w:rsidR="00326D06">
        <w:rPr>
          <w:rFonts w:ascii="David" w:hAnsi="David" w:cs="David" w:hint="cs"/>
          <w:sz w:val="26"/>
          <w:szCs w:val="26"/>
          <w:rtl/>
          <w:lang w:bidi="he-IL"/>
        </w:rPr>
        <w:t>אתו</w:t>
      </w:r>
      <w:r>
        <w:rPr>
          <w:rFonts w:ascii="David" w:hAnsi="David" w:cs="David"/>
          <w:sz w:val="26"/>
          <w:szCs w:val="26"/>
          <w:rtl/>
          <w:lang w:bidi="he-IL"/>
        </w:rPr>
        <w:t xml:space="preserve"> חשבון" באמצעות הליכי פשיטת הרגל.</w:t>
      </w:r>
    </w:p>
    <w:p w:rsidR="00214F7B" w:rsidRDefault="00214F7B" w:rsidP="00214F7B">
      <w:pPr>
        <w:pStyle w:val="af1"/>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החייב חזר מספר פעמים על כך שתכלית החקיקה לא נועדה להענישו במסגרת הליך זה וכי הוא שילם את חובו לחברה עם סיום ההליכים הפליליים.</w:t>
      </w:r>
    </w:p>
    <w:p w:rsidR="00214F7B" w:rsidRDefault="00214F7B" w:rsidP="00214F7B">
      <w:pPr>
        <w:pStyle w:val="af1"/>
        <w:rPr>
          <w:rFonts w:ascii="David" w:hAnsi="David" w:cs="David"/>
          <w:sz w:val="26"/>
          <w:szCs w:val="26"/>
        </w:rPr>
      </w:pPr>
    </w:p>
    <w:p w:rsidR="00214F7B" w:rsidRDefault="00214F7B" w:rsidP="00214F7B">
      <w:pPr>
        <w:spacing w:after="360" w:line="360" w:lineRule="auto"/>
        <w:jc w:val="both"/>
        <w:rPr>
          <w:rFonts w:ascii="David" w:hAnsi="David"/>
          <w:b/>
          <w:bCs/>
          <w:noProof w:val="0"/>
          <w:sz w:val="26"/>
          <w:szCs w:val="26"/>
          <w:u w:val="single"/>
          <w:rtl/>
        </w:rPr>
      </w:pPr>
      <w:r>
        <w:rPr>
          <w:rFonts w:ascii="David" w:hAnsi="David"/>
          <w:b/>
          <w:bCs/>
          <w:noProof w:val="0"/>
          <w:sz w:val="26"/>
          <w:szCs w:val="26"/>
          <w:u w:val="single"/>
          <w:rtl/>
        </w:rPr>
        <w:t>דיון והכרעה</w:t>
      </w:r>
    </w:p>
    <w:p w:rsidR="00214F7B" w:rsidRDefault="00214F7B" w:rsidP="00D032C6">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 xml:space="preserve">בהמשך לכל האמור לעיל לפנינו הכרעה בשני עניינים. הראשון, האם יש מקום לדון בבקשת ההפטר בשלב זה?  </w:t>
      </w:r>
      <w:r w:rsidR="00D032C6">
        <w:rPr>
          <w:rFonts w:ascii="David" w:hAnsi="David" w:cs="David" w:hint="cs"/>
          <w:sz w:val="26"/>
          <w:szCs w:val="26"/>
          <w:rtl/>
          <w:lang w:bidi="he-IL"/>
        </w:rPr>
        <w:t>ו</w:t>
      </w:r>
      <w:r>
        <w:rPr>
          <w:rFonts w:ascii="David" w:hAnsi="David" w:cs="David"/>
          <w:sz w:val="26"/>
          <w:szCs w:val="26"/>
          <w:rtl/>
          <w:lang w:bidi="he-IL"/>
        </w:rPr>
        <w:t>השני, האם יש מקום לדון במסגרת בקשת ההפטר גם בחובותיו של החייב שנוצרו בעקבות התרמית ובהמשך לפסק הדין בע"ר 313/10.</w:t>
      </w:r>
    </w:p>
    <w:p w:rsidR="00214F7B" w:rsidRDefault="00214F7B" w:rsidP="00214F7B">
      <w:pPr>
        <w:spacing w:after="360" w:line="360" w:lineRule="auto"/>
        <w:ind w:left="-211"/>
        <w:jc w:val="both"/>
        <w:rPr>
          <w:rFonts w:ascii="David" w:hAnsi="David"/>
          <w:sz w:val="26"/>
          <w:szCs w:val="26"/>
        </w:rPr>
      </w:pPr>
      <w:r>
        <w:rPr>
          <w:rFonts w:ascii="David" w:hAnsi="David"/>
          <w:bCs/>
          <w:sz w:val="26"/>
          <w:szCs w:val="26"/>
          <w:u w:val="single"/>
          <w:rtl/>
        </w:rPr>
        <w:t>האם יש מקום לדון בשלב הזה בבקשת ההפטר?</w:t>
      </w:r>
    </w:p>
    <w:p w:rsidR="00214F7B" w:rsidRDefault="00214F7B" w:rsidP="005068E6">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כפי שפורט לעיל בהרחבה, בקשת ההפטר הוגשה בשנת 2017. הגשת הבקשה הביאה את הכנ"ר לפתוח בחקירה מקיפה אשר פתחה "תיבת פנדורה", שכללה חקירה סמויה נרחבת, אשר הפכה </w:t>
      </w:r>
      <w:r w:rsidR="00D032C6">
        <w:rPr>
          <w:rFonts w:ascii="David" w:hAnsi="David" w:cs="David" w:hint="cs"/>
          <w:sz w:val="26"/>
          <w:szCs w:val="26"/>
          <w:rtl/>
          <w:lang w:bidi="he-IL"/>
        </w:rPr>
        <w:t xml:space="preserve">בחודש </w:t>
      </w:r>
      <w:r w:rsidR="005068E6">
        <w:rPr>
          <w:rFonts w:ascii="David" w:hAnsi="David" w:cs="David" w:hint="cs"/>
          <w:sz w:val="26"/>
          <w:szCs w:val="26"/>
          <w:rtl/>
          <w:lang w:bidi="he-IL"/>
        </w:rPr>
        <w:t xml:space="preserve">מרץ </w:t>
      </w:r>
      <w:r>
        <w:rPr>
          <w:rFonts w:ascii="David" w:hAnsi="David" w:cs="David"/>
          <w:sz w:val="26"/>
          <w:szCs w:val="26"/>
          <w:rtl/>
          <w:lang w:bidi="he-IL"/>
        </w:rPr>
        <w:t>לגלויה ושטרם הוברר עד תום מה יעלה במסגרת</w:t>
      </w:r>
      <w:r w:rsidR="00D032C6">
        <w:rPr>
          <w:rFonts w:ascii="David" w:hAnsi="David" w:cs="David" w:hint="cs"/>
          <w:sz w:val="26"/>
          <w:szCs w:val="26"/>
          <w:rtl/>
          <w:lang w:bidi="he-IL"/>
        </w:rPr>
        <w:t>ה</w:t>
      </w:r>
      <w:r>
        <w:rPr>
          <w:rFonts w:ascii="David" w:hAnsi="David" w:cs="David"/>
          <w:sz w:val="26"/>
          <w:szCs w:val="26"/>
          <w:rtl/>
          <w:lang w:bidi="he-IL"/>
        </w:rPr>
        <w:t>.</w:t>
      </w:r>
    </w:p>
    <w:p w:rsidR="00214F7B" w:rsidRPr="00D032C6"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מחד, קיימת הבנה למצוקת החייב אשר טוען כי אין דבר בחקירה וכי מדובר ברדיפה אישית נגדו ונגד משפחתו, וכי חפותו קיימת לו כל עוד לא הורשע. בנוסף לאמור, הליך הפש"ר מתנהל מזה 15 שנה – שהינו פרק זמן חריג ביותר – ומהווה שיקול משמעותי בקידום הבקשה. </w:t>
      </w:r>
    </w:p>
    <w:p w:rsidR="00214F7B" w:rsidRDefault="00214F7B" w:rsidP="00214F7B">
      <w:pPr>
        <w:pStyle w:val="af1"/>
        <w:rPr>
          <w:rFonts w:ascii="David" w:hAnsi="David" w:cs="David"/>
          <w:sz w:val="26"/>
          <w:szCs w:val="26"/>
          <w:lang w:bidi="he-IL"/>
        </w:rPr>
      </w:pPr>
    </w:p>
    <w:p w:rsidR="00214F7B" w:rsidRDefault="00214F7B" w:rsidP="00D032C6">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מאידך, משהוגשו הדוחות החסויים בנוגע לחקירה הפלילית המתנהלת כנגד החייב, דוחות אשר נחשפתי אליהם במהלך השנים</w:t>
      </w:r>
      <w:r w:rsidR="00D032C6">
        <w:rPr>
          <w:rFonts w:ascii="David" w:hAnsi="David" w:cs="David" w:hint="cs"/>
          <w:sz w:val="26"/>
          <w:szCs w:val="26"/>
          <w:rtl/>
          <w:lang w:bidi="he-IL"/>
        </w:rPr>
        <w:t>,</w:t>
      </w:r>
      <w:r>
        <w:rPr>
          <w:rFonts w:ascii="David" w:hAnsi="David" w:cs="David"/>
          <w:sz w:val="26"/>
          <w:szCs w:val="26"/>
          <w:rtl/>
          <w:lang w:bidi="he-IL"/>
        </w:rPr>
        <w:t xml:space="preserve"> </w:t>
      </w:r>
      <w:r w:rsidR="00D032C6">
        <w:rPr>
          <w:rFonts w:ascii="David" w:hAnsi="David" w:cs="David" w:hint="cs"/>
          <w:sz w:val="26"/>
          <w:szCs w:val="26"/>
          <w:rtl/>
          <w:lang w:bidi="he-IL"/>
        </w:rPr>
        <w:t xml:space="preserve">קיימת </w:t>
      </w:r>
      <w:r>
        <w:rPr>
          <w:rFonts w:ascii="David" w:hAnsi="David" w:cs="David"/>
          <w:sz w:val="26"/>
          <w:szCs w:val="26"/>
          <w:rtl/>
          <w:lang w:bidi="he-IL"/>
        </w:rPr>
        <w:t>תשתית לכאורית לביצוע עבירות של החייב בזמן היותו בפשיטת רגל. מצב דברים זה, לא מאפשר לדון בבקשתו להפטר כאשר טרם הובררו באופן סופי מהות החשדות.</w:t>
      </w:r>
    </w:p>
    <w:p w:rsidR="00214F7B" w:rsidRDefault="00214F7B" w:rsidP="00214F7B">
      <w:pPr>
        <w:pStyle w:val="af1"/>
        <w:rPr>
          <w:rFonts w:ascii="David" w:hAnsi="David" w:cs="David"/>
          <w:sz w:val="26"/>
          <w:szCs w:val="26"/>
        </w:rPr>
      </w:pPr>
    </w:p>
    <w:p w:rsidR="00214F7B" w:rsidRDefault="00214F7B" w:rsidP="00D032C6">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למרות האמור לעיל ולאור תשובת הכנ"ר במסגרת הדיון שהתקיים ביום 12.4.22, אין מקום לקבל את עמדת הכנ"ר כי המועד לדון בבקשת ההפטר </w:t>
      </w:r>
      <w:r w:rsidR="00D032C6">
        <w:rPr>
          <w:rFonts w:ascii="David" w:hAnsi="David" w:cs="David" w:hint="cs"/>
          <w:sz w:val="26"/>
          <w:szCs w:val="26"/>
          <w:rtl/>
          <w:lang w:bidi="he-IL"/>
        </w:rPr>
        <w:t>י</w:t>
      </w:r>
      <w:r>
        <w:rPr>
          <w:rFonts w:ascii="David" w:hAnsi="David" w:cs="David"/>
          <w:sz w:val="26"/>
          <w:szCs w:val="26"/>
          <w:rtl/>
          <w:lang w:bidi="he-IL"/>
        </w:rPr>
        <w:t xml:space="preserve">היה רק לאחר פסק דין חלוט, ככל שיוחלט להגיש כתב אישום. </w:t>
      </w:r>
      <w:r w:rsidR="00D032C6">
        <w:rPr>
          <w:rFonts w:ascii="David" w:hAnsi="David" w:cs="David" w:hint="cs"/>
          <w:sz w:val="26"/>
          <w:szCs w:val="26"/>
          <w:rtl/>
          <w:lang w:bidi="he-IL"/>
        </w:rPr>
        <w:t xml:space="preserve">אם יוחלט להגיש כתב אישום, יש אפשרות כי ההליך יימשך מספר שנים, לרבות בערכאת הערעור, באופן שיחלפו עוד 4-8 שנים לפחות עד להכרעה חלוטה. </w:t>
      </w:r>
    </w:p>
    <w:p w:rsidR="00C8554C" w:rsidRDefault="00C8554C" w:rsidP="00C8554C">
      <w:pPr>
        <w:pStyle w:val="af1"/>
        <w:bidi/>
        <w:spacing w:after="360" w:line="360" w:lineRule="auto"/>
        <w:ind w:left="509"/>
        <w:jc w:val="both"/>
        <w:rPr>
          <w:rFonts w:ascii="David" w:hAnsi="David" w:cs="David"/>
          <w:sz w:val="26"/>
          <w:szCs w:val="26"/>
        </w:rPr>
      </w:pPr>
    </w:p>
    <w:p w:rsidR="001659F4" w:rsidRPr="00CF7499" w:rsidRDefault="000426EC" w:rsidP="000426EC">
      <w:pPr>
        <w:pStyle w:val="af1"/>
        <w:numPr>
          <w:ilvl w:val="0"/>
          <w:numId w:val="2"/>
        </w:numPr>
        <w:bidi/>
        <w:spacing w:after="360" w:line="360" w:lineRule="auto"/>
        <w:ind w:left="509"/>
        <w:jc w:val="both"/>
        <w:rPr>
          <w:rFonts w:ascii="David" w:hAnsi="David" w:cs="David"/>
          <w:color w:val="000000" w:themeColor="text1"/>
          <w:sz w:val="26"/>
          <w:szCs w:val="26"/>
          <w:rtl/>
        </w:rPr>
      </w:pPr>
      <w:bookmarkStart w:id="3" w:name="Rov296"/>
      <w:bookmarkStart w:id="4" w:name="Seif71"/>
      <w:bookmarkEnd w:id="3"/>
      <w:bookmarkEnd w:id="4"/>
      <w:r w:rsidRPr="00CF7499">
        <w:rPr>
          <w:rStyle w:val="big-number"/>
          <w:rFonts w:ascii="David" w:hAnsi="David" w:cs="David" w:hint="cs"/>
          <w:color w:val="000000" w:themeColor="text1"/>
          <w:sz w:val="26"/>
          <w:szCs w:val="26"/>
          <w:rtl/>
          <w:lang w:bidi="he-IL"/>
        </w:rPr>
        <w:t xml:space="preserve">הוראות החוק הרלבנטיות לסוגיה זו הן הוראות סעיפים 62 ו-63 לפקודה. מפאת חשיבות הדברים, להלן יובאו הוראות אלה: </w:t>
      </w:r>
    </w:p>
    <w:p w:rsidR="000426EC" w:rsidRPr="00CF7499" w:rsidRDefault="00CF7499" w:rsidP="00C8554C">
      <w:pPr>
        <w:pStyle w:val="p00"/>
        <w:bidi/>
        <w:spacing w:before="72" w:beforeAutospacing="0" w:after="0" w:afterAutospacing="0"/>
        <w:ind w:right="1134" w:firstLine="720"/>
        <w:jc w:val="both"/>
        <w:rPr>
          <w:rStyle w:val="big-number"/>
          <w:rFonts w:ascii="David" w:hAnsi="David" w:cs="David"/>
          <w:b/>
          <w:bCs/>
          <w:color w:val="000000" w:themeColor="text1"/>
          <w:sz w:val="26"/>
          <w:szCs w:val="26"/>
          <w:rtl/>
        </w:rPr>
      </w:pPr>
      <w:r w:rsidRPr="00CF7499">
        <w:rPr>
          <w:rStyle w:val="big-number"/>
          <w:rFonts w:ascii="David" w:hAnsi="David" w:cs="David" w:hint="cs"/>
          <w:b/>
          <w:bCs/>
          <w:color w:val="000000" w:themeColor="text1"/>
          <w:sz w:val="26"/>
          <w:szCs w:val="26"/>
          <w:rtl/>
        </w:rPr>
        <w:t>דיון והחלטה</w:t>
      </w:r>
    </w:p>
    <w:p w:rsidR="001659F4" w:rsidRPr="00CF7499" w:rsidRDefault="000426EC" w:rsidP="00CF7499">
      <w:pPr>
        <w:pStyle w:val="p00"/>
        <w:bidi/>
        <w:spacing w:before="72" w:beforeAutospacing="0" w:after="0" w:afterAutospacing="0"/>
        <w:ind w:left="720" w:right="1134"/>
        <w:jc w:val="both"/>
        <w:rPr>
          <w:rFonts w:ascii="David" w:hAnsi="David" w:cs="David"/>
          <w:b/>
          <w:bCs/>
          <w:color w:val="000000"/>
          <w:sz w:val="26"/>
          <w:szCs w:val="26"/>
          <w:rtl/>
        </w:rPr>
      </w:pPr>
      <w:r w:rsidRPr="00CF7499">
        <w:rPr>
          <w:rStyle w:val="big-number"/>
          <w:rFonts w:ascii="David" w:hAnsi="David" w:cs="David" w:hint="cs"/>
          <w:b/>
          <w:bCs/>
          <w:color w:val="000000"/>
          <w:sz w:val="26"/>
          <w:szCs w:val="26"/>
          <w:rtl/>
        </w:rPr>
        <w:t>62</w:t>
      </w:r>
      <w:r w:rsidR="001659F4" w:rsidRPr="00CF7499">
        <w:rPr>
          <w:rStyle w:val="big-number"/>
          <w:rFonts w:ascii="David" w:hAnsi="David" w:cs="David"/>
          <w:b/>
          <w:bCs/>
          <w:color w:val="000000"/>
          <w:sz w:val="26"/>
          <w:szCs w:val="26"/>
          <w:rtl/>
        </w:rPr>
        <w:t>.  </w:t>
      </w:r>
      <w:r w:rsidR="001659F4" w:rsidRPr="00CF7499">
        <w:rPr>
          <w:rStyle w:val="default"/>
          <w:rFonts w:ascii="David" w:hAnsi="David" w:cs="David"/>
          <w:b/>
          <w:bCs/>
          <w:color w:val="000000"/>
          <w:sz w:val="26"/>
          <w:szCs w:val="26"/>
          <w:rtl/>
        </w:rPr>
        <w:t>(א)  בית המשפט בדונו בבקשה רשאי לשמוע את הכונס הרשמי ואת הנאמן, ואת כל נושה, ולהציג לחייב שאלות ולקבל ראיות, כפי שימצא לנכון, והוא יביא בחשבון את תסקיר הכונס בדבר התנהגות החייב ועסקיו, לרבות התנהגותו במשך הליכי פשיטת הרגל.</w:t>
      </w:r>
    </w:p>
    <w:p w:rsidR="001659F4" w:rsidRDefault="001659F4" w:rsidP="00C8554C">
      <w:pPr>
        <w:pStyle w:val="p00"/>
        <w:bidi/>
        <w:spacing w:before="72" w:beforeAutospacing="0" w:after="0" w:afterAutospacing="0"/>
        <w:ind w:left="720" w:right="1134"/>
        <w:rPr>
          <w:rFonts w:ascii="David" w:hAnsi="David" w:cs="David"/>
          <w:color w:val="000000"/>
          <w:sz w:val="26"/>
          <w:szCs w:val="26"/>
          <w:rtl/>
        </w:rPr>
      </w:pPr>
      <w:bookmarkStart w:id="5" w:name="Rov374"/>
      <w:bookmarkStart w:id="6" w:name="Seif72"/>
      <w:bookmarkEnd w:id="5"/>
      <w:bookmarkEnd w:id="6"/>
      <w:r w:rsidRPr="00C8554C">
        <w:rPr>
          <w:rStyle w:val="big-number"/>
          <w:rFonts w:ascii="David" w:hAnsi="David" w:cs="David"/>
          <w:b/>
          <w:bCs/>
          <w:color w:val="008000"/>
          <w:sz w:val="26"/>
          <w:szCs w:val="26"/>
          <w:highlight w:val="black"/>
          <w:rtl/>
        </w:rPr>
        <w:t>סייגים למתן הפטר</w:t>
      </w:r>
      <w:r>
        <w:rPr>
          <w:rStyle w:val="big-number"/>
          <w:rFonts w:ascii="David" w:hAnsi="David" w:cs="David"/>
          <w:b/>
          <w:bCs/>
          <w:color w:val="008000"/>
          <w:sz w:val="26"/>
          <w:szCs w:val="26"/>
          <w:rtl/>
        </w:rPr>
        <w:t xml:space="preserve"> </w:t>
      </w:r>
    </w:p>
    <w:p w:rsidR="001659F4" w:rsidRPr="00CF7499" w:rsidRDefault="001659F4" w:rsidP="00CF7499">
      <w:pPr>
        <w:pStyle w:val="p00"/>
        <w:bidi/>
        <w:spacing w:before="72" w:beforeAutospacing="0" w:after="0" w:afterAutospacing="0"/>
        <w:ind w:left="720" w:right="1134"/>
        <w:jc w:val="both"/>
        <w:rPr>
          <w:rFonts w:ascii="David" w:hAnsi="David" w:cs="David"/>
          <w:b/>
          <w:bCs/>
          <w:color w:val="000000"/>
          <w:sz w:val="26"/>
          <w:szCs w:val="26"/>
          <w:rtl/>
        </w:rPr>
      </w:pPr>
      <w:r w:rsidRPr="00CF7499">
        <w:rPr>
          <w:rStyle w:val="big-number"/>
          <w:rFonts w:ascii="David" w:hAnsi="David" w:cs="David"/>
          <w:b/>
          <w:bCs/>
          <w:color w:val="000000"/>
          <w:sz w:val="26"/>
          <w:szCs w:val="26"/>
          <w:rtl/>
        </w:rPr>
        <w:t>63.  </w:t>
      </w:r>
      <w:r w:rsidRPr="00CF7499">
        <w:rPr>
          <w:rStyle w:val="default"/>
          <w:rFonts w:ascii="David" w:hAnsi="David" w:cs="David"/>
          <w:b/>
          <w:bCs/>
          <w:color w:val="000000"/>
          <w:sz w:val="26"/>
          <w:szCs w:val="26"/>
          <w:rtl/>
        </w:rPr>
        <w:t>(א)  הואשם פושט הרגל והורשע בעבירה לפי פקודה זו בכל עבירה הנוגעת לפשיטת הרגל שלו, או הוכחה עובדה מהעובדות המנויות בסעיף קטן (ב), רשאי בית המשפט להחליט כי ינהג באחת מאלה:</w:t>
      </w:r>
    </w:p>
    <w:p w:rsidR="001659F4" w:rsidRPr="00CF7499" w:rsidRDefault="001659F4" w:rsidP="00CF7499">
      <w:pPr>
        <w:pStyle w:val="p22"/>
        <w:bidi/>
        <w:spacing w:before="72" w:beforeAutospacing="0" w:after="0" w:afterAutospacing="0"/>
        <w:ind w:left="720" w:right="1134"/>
        <w:jc w:val="both"/>
        <w:rPr>
          <w:rFonts w:ascii="David" w:hAnsi="David" w:cs="David"/>
          <w:b/>
          <w:bCs/>
          <w:color w:val="000000"/>
          <w:sz w:val="26"/>
          <w:szCs w:val="26"/>
          <w:rtl/>
        </w:rPr>
      </w:pPr>
      <w:r w:rsidRPr="00CF7499">
        <w:rPr>
          <w:rStyle w:val="default"/>
          <w:rFonts w:ascii="David" w:hAnsi="David" w:cs="David"/>
          <w:b/>
          <w:bCs/>
          <w:color w:val="000000"/>
          <w:sz w:val="26"/>
          <w:szCs w:val="26"/>
          <w:rtl/>
        </w:rPr>
        <w:t>(1)   לא יתן הפטר;</w:t>
      </w:r>
    </w:p>
    <w:p w:rsidR="001659F4" w:rsidRPr="00CF7499" w:rsidRDefault="001659F4" w:rsidP="00CF7499">
      <w:pPr>
        <w:pStyle w:val="p22"/>
        <w:bidi/>
        <w:spacing w:before="72" w:beforeAutospacing="0" w:after="0" w:afterAutospacing="0"/>
        <w:ind w:left="720" w:right="1134"/>
        <w:jc w:val="both"/>
        <w:rPr>
          <w:rFonts w:ascii="David" w:hAnsi="David" w:cs="David"/>
          <w:b/>
          <w:bCs/>
          <w:color w:val="000000"/>
          <w:sz w:val="26"/>
          <w:szCs w:val="26"/>
          <w:rtl/>
        </w:rPr>
      </w:pPr>
      <w:r w:rsidRPr="00CF7499">
        <w:rPr>
          <w:rStyle w:val="default"/>
          <w:rFonts w:ascii="David" w:hAnsi="David" w:cs="David"/>
          <w:b/>
          <w:bCs/>
          <w:color w:val="000000"/>
          <w:sz w:val="26"/>
          <w:szCs w:val="26"/>
          <w:rtl/>
        </w:rPr>
        <w:t>(2)   יתלה את ההפטר לתקופה שימצא מתאימה;</w:t>
      </w:r>
    </w:p>
    <w:p w:rsidR="001659F4" w:rsidRPr="00CF7499" w:rsidRDefault="001659F4" w:rsidP="00CF7499">
      <w:pPr>
        <w:pStyle w:val="p22"/>
        <w:bidi/>
        <w:spacing w:before="72" w:beforeAutospacing="0" w:after="0" w:afterAutospacing="0"/>
        <w:ind w:left="720" w:right="1134"/>
        <w:jc w:val="both"/>
        <w:rPr>
          <w:rFonts w:ascii="David" w:hAnsi="David" w:cs="David"/>
          <w:b/>
          <w:bCs/>
          <w:color w:val="000000"/>
          <w:sz w:val="26"/>
          <w:szCs w:val="26"/>
          <w:rtl/>
        </w:rPr>
      </w:pPr>
      <w:r w:rsidRPr="00CF7499">
        <w:rPr>
          <w:rStyle w:val="default"/>
          <w:rFonts w:ascii="David" w:hAnsi="David" w:cs="David"/>
          <w:b/>
          <w:bCs/>
          <w:color w:val="000000"/>
          <w:sz w:val="26"/>
          <w:szCs w:val="26"/>
          <w:rtl/>
        </w:rPr>
        <w:t>(3)   יתלה את ההפטר עד שישולם לנושים דיבידנד של 50% לפחות;</w:t>
      </w:r>
    </w:p>
    <w:p w:rsidR="001659F4" w:rsidRPr="00CF7499" w:rsidRDefault="001659F4" w:rsidP="00CF7499">
      <w:pPr>
        <w:pStyle w:val="p22"/>
        <w:bidi/>
        <w:spacing w:before="72" w:beforeAutospacing="0" w:after="0" w:afterAutospacing="0"/>
        <w:ind w:left="720" w:right="1134"/>
        <w:jc w:val="both"/>
        <w:rPr>
          <w:rFonts w:ascii="David" w:hAnsi="David" w:cs="David"/>
          <w:b/>
          <w:bCs/>
          <w:color w:val="000000"/>
          <w:sz w:val="26"/>
          <w:szCs w:val="26"/>
          <w:rtl/>
        </w:rPr>
      </w:pPr>
      <w:r w:rsidRPr="00CF7499">
        <w:rPr>
          <w:rStyle w:val="default"/>
          <w:rFonts w:ascii="David" w:hAnsi="David" w:cs="David"/>
          <w:b/>
          <w:bCs/>
          <w:color w:val="000000"/>
          <w:sz w:val="26"/>
          <w:szCs w:val="26"/>
          <w:rtl/>
        </w:rPr>
        <w:t>(4)   ידרוש מפושט הרגל, כתנאי להפטרו, שיסכים למתן פסק דין נגדו לזכות הכונס הרשמי או הנאמן על יתרת חובות בני תביעה בפשיטת הרגל שלא נפרעה עד יום ההפטר, ולתשלום היתרה מתוך רווחיו העתידים של פושט הרגל או מתוך נכסים שרכש לאחר שהוכרז פושט רגל, באופן ובתנאים שהורה עליהם בית המשפט; אולם לא יינקטו הליכי הוצאה לפועל לביצוע פסק הדין בלי רשות בית המשפט, שתינתן על יסוד הוכחה שמאז הפטרו רכש פושט הרגל נכסים או הכנסה העומדים לתשלום חובותיו.</w:t>
      </w:r>
    </w:p>
    <w:p w:rsidR="001659F4" w:rsidRPr="00CF7499" w:rsidRDefault="001659F4" w:rsidP="00CF7499">
      <w:pPr>
        <w:pStyle w:val="p00"/>
        <w:bidi/>
        <w:spacing w:before="72" w:beforeAutospacing="0" w:after="0" w:afterAutospacing="0"/>
        <w:ind w:left="720" w:right="1134"/>
        <w:jc w:val="both"/>
        <w:rPr>
          <w:rFonts w:ascii="David" w:hAnsi="David" w:cs="David"/>
          <w:b/>
          <w:bCs/>
          <w:color w:val="000000"/>
          <w:sz w:val="26"/>
          <w:szCs w:val="26"/>
          <w:rtl/>
        </w:rPr>
      </w:pPr>
      <w:r w:rsidRPr="00CF7499">
        <w:rPr>
          <w:rFonts w:ascii="David" w:hAnsi="David" w:cs="David"/>
          <w:b/>
          <w:bCs/>
          <w:color w:val="000000"/>
          <w:sz w:val="26"/>
          <w:szCs w:val="26"/>
          <w:rtl/>
        </w:rPr>
        <w:t>          </w:t>
      </w:r>
      <w:r w:rsidRPr="00CF7499">
        <w:rPr>
          <w:rStyle w:val="default"/>
          <w:rFonts w:ascii="David" w:hAnsi="David" w:cs="David"/>
          <w:b/>
          <w:bCs/>
          <w:color w:val="000000"/>
          <w:sz w:val="26"/>
          <w:szCs w:val="26"/>
          <w:rtl/>
        </w:rPr>
        <w:t>(ב)  ואלה העובדות המסייגות מתן הפטר:</w:t>
      </w:r>
    </w:p>
    <w:p w:rsidR="001659F4" w:rsidRPr="00C8554C" w:rsidRDefault="001659F4" w:rsidP="00CF7499">
      <w:pPr>
        <w:pStyle w:val="p22"/>
        <w:bidi/>
        <w:spacing w:before="72" w:beforeAutospacing="0" w:after="0" w:afterAutospacing="0"/>
        <w:ind w:left="720" w:right="1134"/>
        <w:jc w:val="both"/>
        <w:rPr>
          <w:rFonts w:ascii="David" w:hAnsi="David" w:cs="David"/>
          <w:b/>
          <w:bCs/>
          <w:color w:val="000000"/>
          <w:sz w:val="26"/>
          <w:szCs w:val="26"/>
          <w:rtl/>
        </w:rPr>
      </w:pPr>
      <w:r w:rsidRPr="00C8554C">
        <w:rPr>
          <w:rStyle w:val="default"/>
          <w:rFonts w:ascii="David" w:hAnsi="David" w:cs="David"/>
          <w:b/>
          <w:bCs/>
          <w:color w:val="000000"/>
          <w:sz w:val="26"/>
          <w:szCs w:val="26"/>
          <w:rtl/>
        </w:rPr>
        <w:t>(1)   במהלך פשיטת הרגל נהג החייב בחוסר תום לב, במטרה לנצל לרעה את הליכי פשיטת הרגל;</w:t>
      </w:r>
    </w:p>
    <w:p w:rsidR="001659F4" w:rsidRPr="00C8554C" w:rsidRDefault="001659F4" w:rsidP="00CF7499">
      <w:pPr>
        <w:pStyle w:val="p22"/>
        <w:bidi/>
        <w:spacing w:before="72" w:beforeAutospacing="0" w:after="0" w:afterAutospacing="0"/>
        <w:ind w:left="720" w:right="1134"/>
        <w:jc w:val="both"/>
        <w:rPr>
          <w:rFonts w:ascii="David" w:hAnsi="David" w:cs="David"/>
          <w:b/>
          <w:bCs/>
          <w:color w:val="000000"/>
          <w:sz w:val="26"/>
          <w:szCs w:val="26"/>
          <w:rtl/>
        </w:rPr>
      </w:pPr>
      <w:r w:rsidRPr="00C8554C">
        <w:rPr>
          <w:rStyle w:val="default"/>
          <w:rFonts w:ascii="David" w:hAnsi="David" w:cs="David"/>
          <w:b/>
          <w:bCs/>
          <w:color w:val="000000"/>
          <w:sz w:val="26"/>
          <w:szCs w:val="26"/>
          <w:rtl/>
        </w:rPr>
        <w:t>(2)   פושט הרגל לא ניהל כמקובל וכיאות לעסקו פנקסי חשבונות המראים במידה מספקת את פעולותיו העסקיות ומצבו הכספי בשלוש השנים שבתכוף לפני פשיטת רגלו;</w:t>
      </w:r>
    </w:p>
    <w:p w:rsidR="001659F4" w:rsidRPr="00C8554C" w:rsidRDefault="001659F4" w:rsidP="00CF7499">
      <w:pPr>
        <w:pStyle w:val="p22"/>
        <w:bidi/>
        <w:spacing w:before="72" w:beforeAutospacing="0" w:after="0" w:afterAutospacing="0"/>
        <w:ind w:left="720" w:right="1134"/>
        <w:jc w:val="both"/>
        <w:rPr>
          <w:rFonts w:ascii="David" w:hAnsi="David" w:cs="David"/>
          <w:b/>
          <w:bCs/>
          <w:color w:val="000000"/>
          <w:sz w:val="26"/>
          <w:szCs w:val="26"/>
          <w:rtl/>
        </w:rPr>
      </w:pPr>
      <w:r w:rsidRPr="00C8554C">
        <w:rPr>
          <w:rStyle w:val="default"/>
          <w:rFonts w:ascii="David" w:hAnsi="David" w:cs="David"/>
          <w:b/>
          <w:bCs/>
          <w:color w:val="000000"/>
          <w:sz w:val="26"/>
          <w:szCs w:val="26"/>
          <w:rtl/>
        </w:rPr>
        <w:t xml:space="preserve">(3)   פושט הרגל קיבל עליו חבויות חדשות או התחיל בעסקים חדשים בעת שידע שהוא חדל פרעון ומבלי שהיה לו יסוד סביר </w:t>
      </w:r>
      <w:r w:rsidR="00CF7499" w:rsidRPr="00C8554C">
        <w:rPr>
          <w:rStyle w:val="default"/>
          <w:rFonts w:ascii="David" w:hAnsi="David" w:cs="David"/>
          <w:b/>
          <w:bCs/>
          <w:color w:val="000000"/>
          <w:sz w:val="26"/>
          <w:szCs w:val="26"/>
          <w:rtl/>
        </w:rPr>
        <w:t>להניח שיוכל לעמוד בהתחייבויותי</w:t>
      </w:r>
      <w:r w:rsidR="00CF7499" w:rsidRPr="00C8554C">
        <w:rPr>
          <w:rStyle w:val="default"/>
          <w:rFonts w:ascii="David" w:hAnsi="David" w:cs="David" w:hint="cs"/>
          <w:b/>
          <w:bCs/>
          <w:color w:val="000000"/>
          <w:sz w:val="26"/>
          <w:szCs w:val="26"/>
          <w:rtl/>
        </w:rPr>
        <w:t>ו...</w:t>
      </w:r>
    </w:p>
    <w:p w:rsidR="001659F4" w:rsidRPr="00C8554C" w:rsidRDefault="001659F4" w:rsidP="00CF7499">
      <w:pPr>
        <w:pStyle w:val="p22"/>
        <w:bidi/>
        <w:spacing w:before="72" w:beforeAutospacing="0" w:after="0" w:afterAutospacing="0"/>
        <w:ind w:left="720" w:right="1134"/>
        <w:jc w:val="both"/>
        <w:rPr>
          <w:rFonts w:ascii="David" w:hAnsi="David" w:cs="David"/>
          <w:b/>
          <w:bCs/>
          <w:color w:val="000000"/>
          <w:sz w:val="26"/>
          <w:szCs w:val="26"/>
          <w:rtl/>
        </w:rPr>
      </w:pPr>
      <w:r w:rsidRPr="00C8554C">
        <w:rPr>
          <w:rStyle w:val="default"/>
          <w:rFonts w:ascii="David" w:hAnsi="David" w:cs="David"/>
          <w:b/>
          <w:bCs/>
          <w:color w:val="000000"/>
          <w:sz w:val="26"/>
          <w:szCs w:val="26"/>
          <w:rtl/>
        </w:rPr>
        <w:t>(9)   תוך שלושת החדשים שקדמו לצו הכינוס, שעה שפושט הרגל לא היה יכול לפרוע את חובותיו ב</w:t>
      </w:r>
      <w:r w:rsidR="00CF7499" w:rsidRPr="00C8554C">
        <w:rPr>
          <w:rStyle w:val="default"/>
          <w:rFonts w:ascii="David" w:hAnsi="David" w:cs="David"/>
          <w:b/>
          <w:bCs/>
          <w:color w:val="000000"/>
          <w:sz w:val="26"/>
          <w:szCs w:val="26"/>
          <w:rtl/>
        </w:rPr>
        <w:t>מועדם, הוא העדיף נושה שלא כשור</w:t>
      </w:r>
      <w:r w:rsidR="00CF7499" w:rsidRPr="00C8554C">
        <w:rPr>
          <w:rStyle w:val="default"/>
          <w:rFonts w:ascii="David" w:hAnsi="David" w:cs="David" w:hint="cs"/>
          <w:b/>
          <w:bCs/>
          <w:color w:val="000000"/>
          <w:sz w:val="26"/>
          <w:szCs w:val="26"/>
          <w:rtl/>
        </w:rPr>
        <w:t>ה...</w:t>
      </w:r>
    </w:p>
    <w:p w:rsidR="001659F4" w:rsidRPr="00C8554C" w:rsidRDefault="001659F4" w:rsidP="00CF7499">
      <w:pPr>
        <w:pStyle w:val="p22"/>
        <w:bidi/>
        <w:spacing w:before="72" w:beforeAutospacing="0" w:after="0" w:afterAutospacing="0"/>
        <w:ind w:left="720" w:right="1134"/>
        <w:jc w:val="both"/>
        <w:rPr>
          <w:rFonts w:ascii="David" w:hAnsi="David" w:cs="David"/>
          <w:b/>
          <w:bCs/>
          <w:color w:val="000000"/>
          <w:sz w:val="26"/>
          <w:szCs w:val="26"/>
          <w:rtl/>
        </w:rPr>
      </w:pPr>
      <w:r w:rsidRPr="00C8554C">
        <w:rPr>
          <w:rStyle w:val="default"/>
          <w:rFonts w:ascii="David" w:hAnsi="David" w:cs="David"/>
          <w:b/>
          <w:bCs/>
          <w:color w:val="000000"/>
          <w:sz w:val="26"/>
          <w:szCs w:val="26"/>
          <w:rtl/>
        </w:rPr>
        <w:t xml:space="preserve">(12)  פושט הרגל היה </w:t>
      </w:r>
      <w:r w:rsidR="00CF7499" w:rsidRPr="00C8554C">
        <w:rPr>
          <w:rStyle w:val="default"/>
          <w:rFonts w:ascii="David" w:hAnsi="David" w:cs="David"/>
          <w:b/>
          <w:bCs/>
          <w:color w:val="000000"/>
          <w:sz w:val="26"/>
          <w:szCs w:val="26"/>
          <w:rtl/>
        </w:rPr>
        <w:t>אשם במרמה או בהפרת נאמנות במרמה</w:t>
      </w:r>
      <w:r w:rsidR="00CF7499" w:rsidRPr="00C8554C">
        <w:rPr>
          <w:rStyle w:val="default"/>
          <w:rFonts w:ascii="David" w:hAnsi="David" w:cs="David" w:hint="cs"/>
          <w:b/>
          <w:bCs/>
          <w:color w:val="000000"/>
          <w:sz w:val="26"/>
          <w:szCs w:val="26"/>
          <w:rtl/>
        </w:rPr>
        <w:t xml:space="preserve">". </w:t>
      </w:r>
    </w:p>
    <w:p w:rsidR="00D8137E" w:rsidRPr="00C8554C" w:rsidRDefault="00D8137E" w:rsidP="00CF7499">
      <w:pPr>
        <w:pStyle w:val="p22"/>
        <w:bidi/>
        <w:spacing w:before="72" w:beforeAutospacing="0" w:after="0" w:afterAutospacing="0"/>
        <w:ind w:left="720" w:right="1134"/>
        <w:jc w:val="both"/>
        <w:rPr>
          <w:rFonts w:ascii="David" w:hAnsi="David" w:cs="David"/>
          <w:b/>
          <w:bCs/>
          <w:color w:val="000000"/>
          <w:sz w:val="26"/>
          <w:szCs w:val="26"/>
          <w:rtl/>
        </w:rPr>
      </w:pPr>
    </w:p>
    <w:p w:rsidR="001659F4" w:rsidRPr="00CF7499" w:rsidRDefault="00CF7499" w:rsidP="00734F7E">
      <w:pPr>
        <w:pStyle w:val="p22"/>
        <w:bidi/>
        <w:spacing w:before="72" w:beforeAutospacing="0" w:after="0" w:afterAutospacing="0" w:line="360" w:lineRule="auto"/>
        <w:ind w:right="1134"/>
        <w:jc w:val="both"/>
        <w:rPr>
          <w:rFonts w:ascii="David" w:hAnsi="David" w:cs="David"/>
          <w:color w:val="000000"/>
          <w:sz w:val="26"/>
          <w:szCs w:val="26"/>
          <w:rtl/>
        </w:rPr>
      </w:pPr>
      <w:r w:rsidRPr="00CF7499">
        <w:rPr>
          <w:rFonts w:ascii="David" w:hAnsi="David" w:cs="David" w:hint="cs"/>
          <w:color w:val="000000"/>
          <w:sz w:val="26"/>
          <w:szCs w:val="26"/>
          <w:rtl/>
        </w:rPr>
        <w:t>בפסיקה הודגשה חשיבות יסוד</w:t>
      </w:r>
      <w:r w:rsidR="00D8137E" w:rsidRPr="00CF7499">
        <w:rPr>
          <w:rFonts w:ascii="David" w:hAnsi="David" w:cs="David" w:hint="cs"/>
          <w:color w:val="000000"/>
          <w:sz w:val="26"/>
          <w:szCs w:val="26"/>
          <w:rtl/>
        </w:rPr>
        <w:t xml:space="preserve"> תום הלב של החייב במהלך הליך פשיטת הרגל</w:t>
      </w:r>
      <w:bookmarkStart w:id="7" w:name="Rov375"/>
      <w:bookmarkStart w:id="8" w:name="Seif73"/>
      <w:bookmarkEnd w:id="7"/>
      <w:bookmarkEnd w:id="8"/>
      <w:r w:rsidR="00734F7E">
        <w:rPr>
          <w:rFonts w:ascii="David" w:hAnsi="David" w:cs="David" w:hint="cs"/>
          <w:color w:val="000000"/>
          <w:sz w:val="26"/>
          <w:szCs w:val="26"/>
          <w:rtl/>
        </w:rPr>
        <w:t>. כך, למשל,</w:t>
      </w:r>
      <w:r w:rsidRPr="00CF7499">
        <w:rPr>
          <w:rFonts w:ascii="David" w:hAnsi="David" w:cs="David" w:hint="cs"/>
          <w:color w:val="000000"/>
          <w:sz w:val="26"/>
          <w:szCs w:val="26"/>
          <w:rtl/>
        </w:rPr>
        <w:t xml:space="preserve"> </w:t>
      </w:r>
      <w:r w:rsidR="00D8137E" w:rsidRPr="00CF7499">
        <w:rPr>
          <w:rFonts w:ascii="David" w:hAnsi="David" w:cs="David"/>
          <w:color w:val="000000"/>
          <w:sz w:val="26"/>
          <w:szCs w:val="26"/>
          <w:rtl/>
        </w:rPr>
        <w:t>ב</w:t>
      </w:r>
      <w:r w:rsidR="001659F4" w:rsidRPr="00CF7499">
        <w:rPr>
          <w:rFonts w:ascii="David" w:hAnsi="David" w:cs="David"/>
          <w:color w:val="000000"/>
          <w:sz w:val="26"/>
          <w:szCs w:val="26"/>
          <w:rtl/>
        </w:rPr>
        <w:t>ע"א 6021/06 </w:t>
      </w:r>
      <w:r w:rsidR="001659F4" w:rsidRPr="00CF7499">
        <w:rPr>
          <w:rFonts w:ascii="David" w:hAnsi="David" w:cs="David"/>
          <w:b/>
          <w:bCs/>
          <w:color w:val="000000"/>
          <w:sz w:val="26"/>
          <w:szCs w:val="26"/>
          <w:rtl/>
        </w:rPr>
        <w:t>דגנית פיגון נ' כונס הנכסים הרישמי</w:t>
      </w:r>
      <w:r w:rsidR="00D8137E" w:rsidRPr="00CF7499">
        <w:rPr>
          <w:rFonts w:ascii="David" w:hAnsi="David" w:cs="David"/>
          <w:color w:val="000000"/>
          <w:sz w:val="26"/>
          <w:szCs w:val="26"/>
          <w:rtl/>
        </w:rPr>
        <w:t> (</w:t>
      </w:r>
      <w:r w:rsidR="001659F4" w:rsidRPr="00CF7499">
        <w:rPr>
          <w:rFonts w:ascii="David" w:hAnsi="David" w:cs="David"/>
          <w:color w:val="000000"/>
          <w:sz w:val="26"/>
          <w:szCs w:val="26"/>
          <w:rtl/>
        </w:rPr>
        <w:t>09.08.2009)</w:t>
      </w:r>
      <w:r>
        <w:rPr>
          <w:rFonts w:ascii="David" w:hAnsi="David" w:cs="David" w:hint="cs"/>
          <w:color w:val="000000"/>
          <w:sz w:val="26"/>
          <w:szCs w:val="26"/>
          <w:rtl/>
        </w:rPr>
        <w:t xml:space="preserve"> שם</w:t>
      </w:r>
      <w:r w:rsidR="00D8137E" w:rsidRPr="00CF7499">
        <w:rPr>
          <w:rFonts w:ascii="David" w:hAnsi="David" w:cs="David"/>
          <w:color w:val="000000"/>
          <w:sz w:val="26"/>
          <w:szCs w:val="26"/>
          <w:rtl/>
        </w:rPr>
        <w:t xml:space="preserve"> נקבעו הדברים הבאים</w:t>
      </w:r>
      <w:r w:rsidR="001659F4" w:rsidRPr="00CF7499">
        <w:rPr>
          <w:rFonts w:ascii="David" w:hAnsi="David" w:cs="David"/>
          <w:color w:val="000000"/>
          <w:sz w:val="26"/>
          <w:szCs w:val="26"/>
          <w:rtl/>
        </w:rPr>
        <w:t>:</w:t>
      </w:r>
    </w:p>
    <w:p w:rsidR="00D8137E" w:rsidRPr="000426EC" w:rsidRDefault="00D8137E" w:rsidP="00CF7499">
      <w:pPr>
        <w:ind w:left="720"/>
        <w:rPr>
          <w:rFonts w:asciiTheme="minorHAnsi" w:hAnsiTheme="minorHAnsi" w:cstheme="minorBidi"/>
          <w:color w:val="000000"/>
          <w:sz w:val="27"/>
          <w:szCs w:val="27"/>
          <w:rtl/>
        </w:rPr>
      </w:pPr>
    </w:p>
    <w:p w:rsidR="001659F4" w:rsidRDefault="001659F4" w:rsidP="00734F7E">
      <w:pPr>
        <w:ind w:left="720" w:right="1134"/>
        <w:jc w:val="both"/>
        <w:rPr>
          <w:rFonts w:ascii="David" w:hAnsi="David"/>
          <w:b/>
          <w:bCs/>
          <w:color w:val="000000"/>
          <w:sz w:val="26"/>
          <w:szCs w:val="26"/>
          <w:rtl/>
        </w:rPr>
      </w:pPr>
      <w:r w:rsidRPr="000426EC">
        <w:rPr>
          <w:rFonts w:ascii="David" w:hAnsi="David"/>
          <w:b/>
          <w:bCs/>
          <w:color w:val="000000"/>
          <w:sz w:val="26"/>
          <w:szCs w:val="26"/>
          <w:rtl/>
        </w:rPr>
        <w:t>"19. אחד האמצעים החשובים ליישוב בין המגמות המנוגדות הפועלות בהליכי פשיטת הרגל מתמקד בדרישה לתום לב של החייב לאורכם ולרוחבם של הליכים אלה. כדי לזכות את החייב ב"כרטיס כניסה" להליך פשיטת רגל, עליו להוכיח את תום לבו. כדי לזכות ב"כרטיס יציאה" מהליך פשיטת הרגל, ולקבל פטור מחובות שנותרו לא משולמים, עליו להראות כי פעל בתום לב במסגרת הליכי פשיטת הרגל, ומילא בדייקנות ובהגינות את החובות שהוטלו עליו בגדרו של הליך זה. רק בהתקיים תנאי תום הלב, זכאי החייב להגנה שמסגרת פשיטת הרגל מקנה לו, ולהפטר מחובותיו לאחר שקיים תנאים נוספים. תכלית ההגנה הניתנת לחייב בהליכי פשיטת רגל נוגעת לחייב שנקלע בתום לב לחובות שאינו מסוגל לפורעם ורק אז "קיים אינטרס חברתי לאפשר לו, בנסיבות מתאימות, לחזור לפעילות כלכלית נורמלית תוך שמיטת חובותיו" (שלמה לוין ואשר גרוניס פשיטת רגל, 24 (מהדורה שניה, 2000) (להלן – לוין וגרוניס); ע"א 4892/91 אשכנזי נ' כונס הנכסים, פ"ד מח(1) 45, 55</w:t>
      </w:r>
      <w:r w:rsidRPr="000426EC">
        <w:rPr>
          <w:rFonts w:ascii="David" w:hAnsi="David"/>
          <w:b/>
          <w:bCs/>
          <w:color w:val="000000"/>
          <w:sz w:val="26"/>
          <w:szCs w:val="26"/>
        </w:rPr>
        <w:t xml:space="preserve"> (1994)</w:t>
      </w:r>
      <w:r w:rsidRPr="000426EC">
        <w:rPr>
          <w:rFonts w:ascii="David" w:hAnsi="David"/>
          <w:b/>
          <w:bCs/>
          <w:color w:val="000000"/>
          <w:sz w:val="26"/>
          <w:szCs w:val="26"/>
          <w:rtl/>
        </w:rPr>
        <w:t>). הנכונות לאזן את עניינו של החייב אל מול עניינם של הנושים, ולהקל עליו בפרישת רשת ההגנה של הליכי פשיטת הרגל וההפטר, מתקיימת, אפוא, רק בחייב תם לב. מי שצבר את חובותיו בחוסר תום לב, או נהג בחוסר תום לב במהלך הליכי פשיטת הרגל, אינו ראוי להגנת הליכים אלה ולהפטר, ואינו זכאי כי עניינם של הנושים במיצוי אינטרס נשייתם כלפיו ייגרע. דרישת תום הלב בהליכי פשיטת רגל</w:t>
      </w:r>
      <w:r w:rsidR="00D8137E">
        <w:rPr>
          <w:rFonts w:ascii="David" w:hAnsi="David" w:hint="cs"/>
          <w:b/>
          <w:bCs/>
          <w:color w:val="000000"/>
          <w:sz w:val="26"/>
          <w:szCs w:val="26"/>
          <w:rtl/>
        </w:rPr>
        <w:t>.</w:t>
      </w:r>
      <w:r w:rsidR="00734F7E">
        <w:rPr>
          <w:rFonts w:ascii="David" w:hAnsi="David" w:hint="cs"/>
          <w:b/>
          <w:bCs/>
          <w:color w:val="000000"/>
          <w:sz w:val="26"/>
          <w:szCs w:val="26"/>
          <w:rtl/>
        </w:rPr>
        <w:t>..</w:t>
      </w:r>
    </w:p>
    <w:p w:rsidR="00D8137E" w:rsidRPr="000426EC" w:rsidRDefault="00D8137E" w:rsidP="00734F7E">
      <w:pPr>
        <w:ind w:left="720" w:right="1134"/>
        <w:jc w:val="both"/>
        <w:rPr>
          <w:rFonts w:ascii="David" w:hAnsi="David"/>
          <w:b/>
          <w:bCs/>
          <w:color w:val="000000"/>
          <w:sz w:val="26"/>
          <w:szCs w:val="26"/>
          <w:rtl/>
        </w:rPr>
      </w:pPr>
    </w:p>
    <w:p w:rsidR="001659F4" w:rsidRDefault="001659F4" w:rsidP="00734F7E">
      <w:pPr>
        <w:ind w:left="720" w:right="1134"/>
        <w:jc w:val="both"/>
        <w:rPr>
          <w:rFonts w:ascii="David" w:hAnsi="David"/>
          <w:b/>
          <w:bCs/>
          <w:color w:val="000000"/>
          <w:sz w:val="26"/>
          <w:szCs w:val="26"/>
          <w:rtl/>
        </w:rPr>
      </w:pPr>
      <w:r w:rsidRPr="000426EC">
        <w:rPr>
          <w:rFonts w:ascii="David" w:hAnsi="David"/>
          <w:b/>
          <w:bCs/>
          <w:color w:val="000000"/>
          <w:sz w:val="26"/>
          <w:szCs w:val="26"/>
          <w:rtl/>
        </w:rPr>
        <w:t>21.תום ליבו של חייב כשיקול מהותי בהליכי פשיטת רגל, אינו ייחודי לשלב מתן צו ההפטר. הוא שזור כחוט השני לאורכם ולרוחבם של כל שלבי ההליכים כולם. כך לענין מתן צו הכינוס (ע"א 34/89 אגברייה נ' כונס הנכסים הרשמי (לא פורסם, [פורסם בנבו], 24.10.90); ע"א 5178/92 אליהו נ' כונס הנכסים הרשמי, פ"ד מט(1) 435 (1995) (להלן – פרשת אליהו); סעיף 18ה(א)(2) לפקודה; לוין וגרוניס, עמ' 108-109); כך לענין מתן ההכרזה על פשיטת הרגל (סעיפים 18ג(ג) ו- 18ה(א)(2) לפקודה); כך לענין אישור הסדר עם נושים (סעיף 35(ה)-(ז) לפקודה; ע"א 334/71 אבייה נ' גולדמן, פ"ד כה(2) 595</w:t>
      </w:r>
      <w:r w:rsidRPr="000426EC">
        <w:rPr>
          <w:rFonts w:ascii="David" w:hAnsi="David"/>
          <w:b/>
          <w:bCs/>
          <w:color w:val="000000"/>
          <w:sz w:val="26"/>
          <w:szCs w:val="26"/>
        </w:rPr>
        <w:t xml:space="preserve"> (1971)</w:t>
      </w:r>
      <w:r w:rsidRPr="000426EC">
        <w:rPr>
          <w:rFonts w:ascii="David" w:hAnsi="David"/>
          <w:b/>
          <w:bCs/>
          <w:color w:val="000000"/>
          <w:sz w:val="26"/>
          <w:szCs w:val="26"/>
          <w:rtl/>
        </w:rPr>
        <w:t>); וכך לענין ביטול הכרזת פשיטת רגל שכבר ניתנה כאשר החייב נהג בחוסר תום לב במהלך הליכי פשיטת הרגל (פרשת בנבנישתי, פסקה 9, 11; ע"א 5503/92 קירצמן נ' הכנר, פ"ד מט(1) 749, 756-7 (1994) (להלן – ענין קירצמן)). הנה כי כן, בכל שלבי הליכי פשיטת הרגל, מהווה תום הלב של החייב תנאי מהותי לקבלת הסעד המבוקש, והעדר תום לב עלול להביא לא רק לסירוב להיענות למתן הסעד, אלא להוביל גם לביטולו של סעד שכבר ניתן (סעיפים 37 , 54-55 לפקודה).</w:t>
      </w:r>
      <w:r w:rsidR="00734F7E">
        <w:rPr>
          <w:rFonts w:ascii="David" w:hAnsi="David" w:hint="cs"/>
          <w:b/>
          <w:bCs/>
          <w:color w:val="000000"/>
          <w:sz w:val="26"/>
          <w:szCs w:val="26"/>
          <w:rtl/>
        </w:rPr>
        <w:t>..</w:t>
      </w:r>
    </w:p>
    <w:p w:rsidR="00D8137E" w:rsidRPr="000426EC" w:rsidRDefault="00D8137E" w:rsidP="00734F7E">
      <w:pPr>
        <w:ind w:left="720" w:right="1134"/>
        <w:jc w:val="both"/>
        <w:rPr>
          <w:rFonts w:ascii="David" w:hAnsi="David"/>
          <w:b/>
          <w:bCs/>
          <w:color w:val="000000"/>
          <w:sz w:val="26"/>
          <w:szCs w:val="26"/>
          <w:rtl/>
        </w:rPr>
      </w:pPr>
    </w:p>
    <w:p w:rsidR="001659F4" w:rsidRDefault="001659F4" w:rsidP="00734F7E">
      <w:pPr>
        <w:ind w:left="720" w:right="1134"/>
        <w:jc w:val="both"/>
        <w:rPr>
          <w:rFonts w:ascii="David" w:hAnsi="David"/>
          <w:b/>
          <w:bCs/>
          <w:color w:val="000000"/>
          <w:sz w:val="26"/>
          <w:szCs w:val="26"/>
          <w:rtl/>
        </w:rPr>
      </w:pPr>
      <w:r w:rsidRPr="000426EC">
        <w:rPr>
          <w:rFonts w:ascii="David" w:hAnsi="David"/>
          <w:b/>
          <w:bCs/>
          <w:color w:val="000000"/>
          <w:sz w:val="26"/>
          <w:szCs w:val="26"/>
          <w:rtl/>
        </w:rPr>
        <w:t>23. עניינם של הליכי פשיטת הרגל אינו מתמצה בהסדרת מערכת היחסים שבין החייב לנושיו בלבד. נשקלים בגדרם גם היבטים הכרוכים בטובת הציבור בכללותו, וכן "שמו הטוב של עולם המסחר במובן הרחב של המילה" (לוין וגרוניס, עמ' 152). וכדבריו של השופט ש' לוין בע"א 206/88 גרינברגר נ' אייזנברג, פ"ד מה(3) 397, 399 (1991): "חייב בית המשפט לשקול בדונו בבקשה לצו-הפטר, את התנהגותו של החייב, לרבות את התנהגותו במשך הליכי פשיטת הרגל... וכן להביא בחשבון שיקולים שבטובת הציבור.." (הדגשה לא במקור). ובהקשר דומה (מפי השופט זוסמן): "משהחלו הליכי פשיטת רגל, אין סידור ענייני החייב נתון עוד להסכם פרטי בינו לבין נושיו, אלא לציבור ענין בסילוק חובותיו של החייב בשים לב לדרישות המוסר המסחרי" (ע"א 172/57 מקבל הנכסים הרשמי נ' נודלמן, פ"ד יא 1177, 1179 (1957) (הדגשה לא במקור)). בהקשר זה, ראוי להתייחס להיבט תום הלב הנדרש מחייב בפשיטת רגל מבחינת המשמעות הערכית והמסר הציבורי העולה ממנו, לפיו אין מקום לזכות אדם ביתרונות הנובעים מהליכי הסדר חובותיו, ולפוטרו מהם אלא אם נמצא ראוי לכך בדרך התנהגותו (השוו ע"א 2097/02 איטונג בע"מ נ' חדיד, פ"ד נז(4) 211, 224 (2003) (השופט גרוניס)).</w:t>
      </w:r>
    </w:p>
    <w:p w:rsidR="00924C88" w:rsidRPr="000426EC" w:rsidRDefault="00924C88" w:rsidP="00734F7E">
      <w:pPr>
        <w:ind w:left="720" w:right="1134"/>
        <w:jc w:val="both"/>
        <w:rPr>
          <w:rFonts w:ascii="David" w:hAnsi="David"/>
          <w:b/>
          <w:bCs/>
          <w:color w:val="000000"/>
          <w:sz w:val="26"/>
          <w:szCs w:val="26"/>
          <w:rtl/>
        </w:rPr>
      </w:pPr>
    </w:p>
    <w:p w:rsidR="001659F4" w:rsidRPr="000426EC" w:rsidRDefault="001659F4" w:rsidP="00734F7E">
      <w:pPr>
        <w:ind w:left="720" w:right="1134"/>
        <w:jc w:val="both"/>
        <w:rPr>
          <w:rFonts w:ascii="David" w:hAnsi="David"/>
          <w:b/>
          <w:bCs/>
          <w:color w:val="000000"/>
          <w:sz w:val="26"/>
          <w:szCs w:val="26"/>
          <w:rtl/>
        </w:rPr>
      </w:pPr>
      <w:r w:rsidRPr="000426EC">
        <w:rPr>
          <w:rFonts w:ascii="David" w:hAnsi="David"/>
          <w:b/>
          <w:bCs/>
          <w:color w:val="000000"/>
          <w:sz w:val="26"/>
          <w:szCs w:val="26"/>
          <w:rtl/>
        </w:rPr>
        <w:t>24.  בית משפט המתבקש לשקול מתן צו הפטר נדרש, אפוא, להתייחס למערכת ענפה של גורמים ולשקללם, כדי להגשים את תכליותיו של הליך פשיטת הרגל על מלוא מורכבותו</w:t>
      </w:r>
      <w:r w:rsidRPr="000426EC">
        <w:rPr>
          <w:rFonts w:ascii="David" w:hAnsi="David"/>
          <w:b/>
          <w:bCs/>
          <w:color w:val="000000"/>
          <w:sz w:val="26"/>
          <w:szCs w:val="26"/>
        </w:rPr>
        <w:t>."</w:t>
      </w:r>
    </w:p>
    <w:p w:rsidR="001659F4" w:rsidRDefault="001659F4" w:rsidP="00734F7E">
      <w:pPr>
        <w:ind w:right="1134"/>
        <w:rPr>
          <w:rFonts w:ascii="David" w:hAnsi="David"/>
          <w:sz w:val="26"/>
          <w:szCs w:val="26"/>
          <w:rtl/>
        </w:rPr>
      </w:pPr>
    </w:p>
    <w:p w:rsidR="00924C88" w:rsidRPr="000426EC" w:rsidRDefault="00924C88" w:rsidP="000426EC">
      <w:pPr>
        <w:rPr>
          <w:rFonts w:ascii="David" w:hAnsi="David"/>
          <w:sz w:val="26"/>
          <w:szCs w:val="26"/>
          <w:rtl/>
        </w:rPr>
      </w:pPr>
    </w:p>
    <w:p w:rsidR="001659F4" w:rsidRPr="000426EC" w:rsidRDefault="00924C88" w:rsidP="00734F7E">
      <w:pPr>
        <w:spacing w:line="360" w:lineRule="auto"/>
        <w:jc w:val="both"/>
        <w:rPr>
          <w:rFonts w:ascii="David" w:hAnsi="David"/>
          <w:color w:val="000000"/>
          <w:sz w:val="26"/>
          <w:szCs w:val="26"/>
          <w:rtl/>
        </w:rPr>
      </w:pPr>
      <w:r>
        <w:rPr>
          <w:rFonts w:ascii="David" w:hAnsi="David" w:hint="cs"/>
          <w:color w:val="000000"/>
          <w:sz w:val="26"/>
          <w:szCs w:val="26"/>
          <w:rtl/>
        </w:rPr>
        <w:t xml:space="preserve">ראו עוד בסוגיה זו את </w:t>
      </w:r>
      <w:r w:rsidR="001659F4" w:rsidRPr="000426EC">
        <w:rPr>
          <w:rFonts w:ascii="David" w:hAnsi="David"/>
          <w:color w:val="000000"/>
          <w:sz w:val="26"/>
          <w:szCs w:val="26"/>
          <w:rtl/>
        </w:rPr>
        <w:t>ע"א 6416/01 </w:t>
      </w:r>
      <w:r w:rsidR="001659F4" w:rsidRPr="000426EC">
        <w:rPr>
          <w:rFonts w:ascii="David" w:hAnsi="David"/>
          <w:b/>
          <w:bCs/>
          <w:color w:val="000000"/>
          <w:sz w:val="26"/>
          <w:szCs w:val="26"/>
          <w:rtl/>
        </w:rPr>
        <w:t>דני בנבנישתי נ' כונס הנכסים הרשמי</w:t>
      </w:r>
      <w:r w:rsidR="001659F4" w:rsidRPr="000426EC">
        <w:rPr>
          <w:rFonts w:ascii="David" w:hAnsi="David"/>
          <w:color w:val="000000"/>
          <w:sz w:val="26"/>
          <w:szCs w:val="26"/>
        </w:rPr>
        <w:t xml:space="preserve">, </w:t>
      </w:r>
      <w:r w:rsidR="0047782E">
        <w:rPr>
          <w:rFonts w:ascii="David" w:hAnsi="David" w:hint="cs"/>
          <w:color w:val="000000"/>
          <w:sz w:val="26"/>
          <w:szCs w:val="26"/>
          <w:rtl/>
        </w:rPr>
        <w:t xml:space="preserve">פ"ד </w:t>
      </w:r>
      <w:r w:rsidR="0047782E">
        <w:rPr>
          <w:rFonts w:ascii="David" w:hAnsi="David"/>
          <w:color w:val="000000"/>
          <w:sz w:val="26"/>
          <w:szCs w:val="26"/>
          <w:rtl/>
        </w:rPr>
        <w:t>נז(4) 197 (2003)</w:t>
      </w:r>
      <w:r w:rsidR="0047782E">
        <w:rPr>
          <w:rFonts w:ascii="David" w:hAnsi="David" w:hint="cs"/>
          <w:color w:val="000000"/>
          <w:sz w:val="26"/>
          <w:szCs w:val="26"/>
          <w:rtl/>
        </w:rPr>
        <w:t xml:space="preserve"> </w:t>
      </w:r>
      <w:r>
        <w:rPr>
          <w:rFonts w:ascii="David" w:hAnsi="David" w:hint="cs"/>
          <w:color w:val="000000"/>
          <w:sz w:val="26"/>
          <w:szCs w:val="26"/>
          <w:rtl/>
        </w:rPr>
        <w:t>וכן את שנקבע ב</w:t>
      </w:r>
      <w:r w:rsidR="001659F4" w:rsidRPr="000426EC">
        <w:rPr>
          <w:rFonts w:ascii="David" w:hAnsi="David"/>
          <w:color w:val="000000"/>
          <w:sz w:val="26"/>
          <w:szCs w:val="26"/>
          <w:rtl/>
        </w:rPr>
        <w:t>ע"א 8096/17 </w:t>
      </w:r>
      <w:r w:rsidR="001659F4" w:rsidRPr="000426EC">
        <w:rPr>
          <w:rFonts w:ascii="David" w:hAnsi="David"/>
          <w:b/>
          <w:bCs/>
          <w:color w:val="000000"/>
          <w:sz w:val="26"/>
          <w:szCs w:val="26"/>
          <w:rtl/>
        </w:rPr>
        <w:t>עידית סקוק נ' סבטלנה איסחקוב</w:t>
      </w:r>
      <w:r w:rsidR="001659F4" w:rsidRPr="000426EC">
        <w:rPr>
          <w:rFonts w:ascii="David" w:hAnsi="David"/>
          <w:color w:val="000000"/>
          <w:sz w:val="26"/>
          <w:szCs w:val="26"/>
          <w:rtl/>
        </w:rPr>
        <w:t> (03.02.2019) (</w:t>
      </w:r>
      <w:r>
        <w:rPr>
          <w:rFonts w:ascii="David" w:hAnsi="David" w:hint="cs"/>
          <w:color w:val="000000"/>
          <w:sz w:val="26"/>
          <w:szCs w:val="26"/>
          <w:rtl/>
        </w:rPr>
        <w:t xml:space="preserve">פסקה </w:t>
      </w:r>
      <w:r>
        <w:rPr>
          <w:rFonts w:ascii="David" w:hAnsi="David"/>
          <w:color w:val="000000"/>
          <w:sz w:val="26"/>
          <w:szCs w:val="26"/>
          <w:rtl/>
        </w:rPr>
        <w:t>23</w:t>
      </w:r>
      <w:r>
        <w:rPr>
          <w:rFonts w:ascii="David" w:hAnsi="David" w:hint="cs"/>
          <w:color w:val="000000"/>
          <w:sz w:val="26"/>
          <w:szCs w:val="26"/>
          <w:rtl/>
        </w:rPr>
        <w:t xml:space="preserve">). </w:t>
      </w:r>
    </w:p>
    <w:p w:rsidR="001659F4" w:rsidRPr="000426EC" w:rsidRDefault="001659F4" w:rsidP="000426EC">
      <w:pPr>
        <w:ind w:right="142"/>
        <w:jc w:val="both"/>
        <w:rPr>
          <w:rFonts w:ascii="David" w:hAnsi="David"/>
          <w:color w:val="000000"/>
          <w:sz w:val="26"/>
          <w:szCs w:val="26"/>
          <w:rtl/>
        </w:rPr>
      </w:pPr>
    </w:p>
    <w:p w:rsidR="00C12907" w:rsidRPr="00924C88" w:rsidRDefault="00924C88" w:rsidP="00734F7E">
      <w:pPr>
        <w:spacing w:line="360" w:lineRule="auto"/>
        <w:ind w:right="142"/>
        <w:jc w:val="both"/>
        <w:rPr>
          <w:rFonts w:ascii="David" w:hAnsi="David"/>
          <w:color w:val="000000"/>
          <w:sz w:val="26"/>
          <w:szCs w:val="26"/>
          <w:rtl/>
        </w:rPr>
      </w:pPr>
      <w:r>
        <w:rPr>
          <w:rFonts w:ascii="David" w:hAnsi="David" w:hint="cs"/>
          <w:color w:val="000000"/>
          <w:sz w:val="26"/>
          <w:szCs w:val="26"/>
          <w:rtl/>
        </w:rPr>
        <w:t xml:space="preserve">במרבית המקרים, הדיון בתום לבו של החייב במהלך הליך פשיטת הרגל מתקיים שלא על רקע חקירה פלילית בחשד לביצוע עבירות במהלך ההליך. לא כך הדבר במקרה זה, בו מיוחסות לחייב התנהגות פלילית ועבריינית, מעבר להתנהלות שלא בתום לב. הואיל והחקירה הפלילית טרם הסתיימה וטרם הוחלט אם להגיש נגד החייב כתב אישום, לא מועבר לחייב בשלב זה חומר החקירה והוא אינו יכול להתגונן ולהגיב לחשדות המיוחסים לו. </w:t>
      </w:r>
    </w:p>
    <w:p w:rsidR="001659F4" w:rsidRPr="000426EC" w:rsidRDefault="001659F4" w:rsidP="000426EC">
      <w:pPr>
        <w:ind w:right="142"/>
        <w:jc w:val="both"/>
        <w:rPr>
          <w:rFonts w:ascii="David" w:hAnsi="David"/>
          <w:b/>
          <w:bCs/>
          <w:color w:val="000000"/>
          <w:sz w:val="26"/>
          <w:szCs w:val="26"/>
          <w:rtl/>
        </w:rPr>
      </w:pPr>
    </w:p>
    <w:p w:rsidR="00C12907" w:rsidRPr="00C12907" w:rsidRDefault="00214F7B" w:rsidP="00C12907">
      <w:pPr>
        <w:pStyle w:val="af1"/>
        <w:numPr>
          <w:ilvl w:val="0"/>
          <w:numId w:val="2"/>
        </w:numPr>
        <w:bidi/>
        <w:spacing w:after="360" w:line="360" w:lineRule="auto"/>
        <w:ind w:left="509"/>
        <w:jc w:val="both"/>
        <w:rPr>
          <w:rFonts w:ascii="David" w:hAnsi="David" w:cs="David"/>
          <w:sz w:val="26"/>
          <w:szCs w:val="26"/>
          <w:rtl/>
        </w:rPr>
      </w:pPr>
      <w:r w:rsidRPr="00924C88">
        <w:rPr>
          <w:rFonts w:ascii="David" w:hAnsi="David" w:cs="David"/>
          <w:sz w:val="26"/>
          <w:szCs w:val="26"/>
          <w:rtl/>
          <w:lang w:bidi="he-IL"/>
        </w:rPr>
        <w:t>בנסיבות האמ</w:t>
      </w:r>
      <w:r w:rsidR="00DD5279">
        <w:rPr>
          <w:rFonts w:ascii="David" w:hAnsi="David" w:cs="David"/>
          <w:sz w:val="26"/>
          <w:szCs w:val="26"/>
          <w:rtl/>
          <w:lang w:bidi="he-IL"/>
        </w:rPr>
        <w:t>ורות, אני קובע בסוגיה זו כדלקמן</w:t>
      </w:r>
      <w:r w:rsidR="00C12907">
        <w:rPr>
          <w:rFonts w:ascii="David" w:hAnsi="David" w:cs="David" w:hint="cs"/>
          <w:sz w:val="26"/>
          <w:szCs w:val="26"/>
          <w:rtl/>
          <w:lang w:bidi="he-IL"/>
        </w:rPr>
        <w:t>:</w:t>
      </w:r>
    </w:p>
    <w:p w:rsidR="00214F7B" w:rsidRDefault="00214F7B" w:rsidP="00214F7B">
      <w:pPr>
        <w:pStyle w:val="af1"/>
        <w:rPr>
          <w:rFonts w:ascii="David" w:hAnsi="David" w:cs="David"/>
          <w:sz w:val="26"/>
          <w:szCs w:val="26"/>
        </w:rPr>
      </w:pPr>
    </w:p>
    <w:p w:rsidR="00214F7B" w:rsidRDefault="00214F7B" w:rsidP="00214F7B">
      <w:pPr>
        <w:pStyle w:val="af1"/>
        <w:numPr>
          <w:ilvl w:val="0"/>
          <w:numId w:val="4"/>
        </w:numPr>
        <w:bidi/>
        <w:spacing w:after="360" w:line="360" w:lineRule="auto"/>
        <w:jc w:val="both"/>
        <w:rPr>
          <w:rFonts w:ascii="David" w:hAnsi="David" w:cs="David"/>
          <w:b/>
          <w:bCs/>
          <w:sz w:val="26"/>
          <w:szCs w:val="26"/>
          <w:u w:val="single"/>
          <w:rtl/>
          <w:lang w:bidi="he-IL"/>
        </w:rPr>
      </w:pPr>
      <w:r>
        <w:rPr>
          <w:rFonts w:ascii="David" w:hAnsi="David" w:cs="David"/>
          <w:b/>
          <w:bCs/>
          <w:sz w:val="26"/>
          <w:szCs w:val="26"/>
          <w:u w:val="single"/>
          <w:rtl/>
          <w:lang w:bidi="he-IL"/>
        </w:rPr>
        <w:t xml:space="preserve">בשלב זה </w:t>
      </w:r>
      <w:r w:rsidR="00326D06">
        <w:rPr>
          <w:rFonts w:ascii="David" w:hAnsi="David" w:cs="David" w:hint="cs"/>
          <w:b/>
          <w:bCs/>
          <w:sz w:val="26"/>
          <w:szCs w:val="26"/>
          <w:u w:val="single"/>
          <w:rtl/>
          <w:lang w:bidi="he-IL"/>
        </w:rPr>
        <w:t>נדחי</w:t>
      </w:r>
      <w:r w:rsidR="00326D06">
        <w:rPr>
          <w:rFonts w:ascii="David" w:hAnsi="David" w:cs="David" w:hint="eastAsia"/>
          <w:b/>
          <w:bCs/>
          <w:sz w:val="26"/>
          <w:szCs w:val="26"/>
          <w:u w:val="single"/>
          <w:rtl/>
          <w:lang w:bidi="he-IL"/>
        </w:rPr>
        <w:t>ת</w:t>
      </w:r>
      <w:r>
        <w:rPr>
          <w:rFonts w:ascii="David" w:hAnsi="David" w:cs="David"/>
          <w:b/>
          <w:bCs/>
          <w:sz w:val="26"/>
          <w:szCs w:val="26"/>
          <w:u w:val="single"/>
          <w:rtl/>
          <w:lang w:bidi="he-IL"/>
        </w:rPr>
        <w:t xml:space="preserve"> בקשת החייב לדון בבקשת ההפטר</w:t>
      </w:r>
      <w:r>
        <w:rPr>
          <w:rFonts w:ascii="David" w:hAnsi="David" w:cs="David"/>
          <w:b/>
          <w:bCs/>
          <w:sz w:val="26"/>
          <w:szCs w:val="26"/>
          <w:rtl/>
          <w:lang w:bidi="he-IL"/>
        </w:rPr>
        <w:t>.</w:t>
      </w:r>
    </w:p>
    <w:p w:rsidR="00214F7B" w:rsidRDefault="00214F7B" w:rsidP="00F9572C">
      <w:pPr>
        <w:pStyle w:val="af1"/>
        <w:numPr>
          <w:ilvl w:val="0"/>
          <w:numId w:val="4"/>
        </w:numPr>
        <w:bidi/>
        <w:spacing w:after="360" w:line="360" w:lineRule="auto"/>
        <w:jc w:val="both"/>
        <w:rPr>
          <w:rFonts w:ascii="David" w:hAnsi="David" w:cs="David"/>
          <w:b/>
          <w:bCs/>
          <w:sz w:val="26"/>
          <w:szCs w:val="26"/>
          <w:u w:val="single"/>
          <w:lang w:bidi="he-IL"/>
        </w:rPr>
      </w:pPr>
      <w:r>
        <w:rPr>
          <w:rFonts w:ascii="David" w:hAnsi="David" w:cs="David"/>
          <w:b/>
          <w:bCs/>
          <w:sz w:val="26"/>
          <w:szCs w:val="26"/>
          <w:u w:val="single"/>
          <w:rtl/>
          <w:lang w:bidi="he-IL"/>
        </w:rPr>
        <w:t>החייב יוכל ל</w:t>
      </w:r>
      <w:r w:rsidR="00F9572C">
        <w:rPr>
          <w:rFonts w:ascii="David" w:hAnsi="David" w:cs="David" w:hint="cs"/>
          <w:b/>
          <w:bCs/>
          <w:sz w:val="26"/>
          <w:szCs w:val="26"/>
          <w:u w:val="single"/>
          <w:rtl/>
          <w:lang w:bidi="he-IL"/>
        </w:rPr>
        <w:t>חדש</w:t>
      </w:r>
      <w:r>
        <w:rPr>
          <w:rFonts w:ascii="David" w:hAnsi="David" w:cs="David"/>
          <w:b/>
          <w:bCs/>
          <w:sz w:val="26"/>
          <w:szCs w:val="26"/>
          <w:u w:val="single"/>
          <w:rtl/>
          <w:lang w:bidi="he-IL"/>
        </w:rPr>
        <w:t xml:space="preserve"> את בקשת ההפטר לאחר החלטת הכנ"ר והפרקליטות בנוגע להגשת אישום כנגדו, ככל שימצא לנכון לעשות זאת באותו המועד</w:t>
      </w:r>
      <w:r>
        <w:rPr>
          <w:rFonts w:ascii="David" w:hAnsi="David" w:cs="David"/>
          <w:b/>
          <w:bCs/>
          <w:sz w:val="26"/>
          <w:szCs w:val="26"/>
          <w:rtl/>
          <w:lang w:bidi="he-IL"/>
        </w:rPr>
        <w:t>.</w:t>
      </w:r>
    </w:p>
    <w:p w:rsidR="00214F7B" w:rsidRDefault="00214F7B" w:rsidP="00924C88">
      <w:pPr>
        <w:pStyle w:val="af1"/>
        <w:numPr>
          <w:ilvl w:val="0"/>
          <w:numId w:val="4"/>
        </w:numPr>
        <w:bidi/>
        <w:spacing w:after="360" w:line="360" w:lineRule="auto"/>
        <w:jc w:val="both"/>
        <w:rPr>
          <w:rFonts w:ascii="David" w:hAnsi="David" w:cs="David"/>
          <w:b/>
          <w:bCs/>
          <w:sz w:val="26"/>
          <w:szCs w:val="26"/>
          <w:u w:val="single"/>
          <w:lang w:bidi="he-IL"/>
        </w:rPr>
      </w:pPr>
      <w:r>
        <w:rPr>
          <w:rFonts w:ascii="David" w:hAnsi="David" w:cs="David"/>
          <w:b/>
          <w:bCs/>
          <w:sz w:val="26"/>
          <w:szCs w:val="26"/>
          <w:u w:val="single"/>
          <w:rtl/>
          <w:lang w:bidi="he-IL"/>
        </w:rPr>
        <w:t>בנוסף,</w:t>
      </w:r>
      <w:r w:rsidR="00924C88">
        <w:rPr>
          <w:rFonts w:ascii="David" w:hAnsi="David" w:cs="David"/>
          <w:b/>
          <w:bCs/>
          <w:sz w:val="26"/>
          <w:szCs w:val="26"/>
          <w:u w:val="single"/>
          <w:rtl/>
          <w:lang w:bidi="he-IL"/>
        </w:rPr>
        <w:t xml:space="preserve"> אני מוצא לנכון לקבוע כי הכנ"ר</w:t>
      </w:r>
      <w:r>
        <w:rPr>
          <w:rFonts w:ascii="David" w:hAnsi="David" w:cs="David"/>
          <w:b/>
          <w:bCs/>
          <w:sz w:val="26"/>
          <w:szCs w:val="26"/>
          <w:u w:val="single"/>
          <w:rtl/>
          <w:lang w:bidi="he-IL"/>
        </w:rPr>
        <w:t xml:space="preserve"> יג</w:t>
      </w:r>
      <w:r w:rsidR="00924C88">
        <w:rPr>
          <w:rFonts w:ascii="David" w:hAnsi="David" w:cs="David" w:hint="cs"/>
          <w:b/>
          <w:bCs/>
          <w:sz w:val="26"/>
          <w:szCs w:val="26"/>
          <w:u w:val="single"/>
          <w:rtl/>
          <w:lang w:bidi="he-IL"/>
        </w:rPr>
        <w:t>יש</w:t>
      </w:r>
      <w:r w:rsidR="00F9572C">
        <w:rPr>
          <w:rFonts w:ascii="David" w:hAnsi="David" w:cs="David" w:hint="cs"/>
          <w:b/>
          <w:bCs/>
          <w:sz w:val="26"/>
          <w:szCs w:val="26"/>
          <w:u w:val="single"/>
          <w:rtl/>
          <w:lang w:bidi="he-IL"/>
        </w:rPr>
        <w:t xml:space="preserve"> הודעה מעדכנת </w:t>
      </w:r>
      <w:r>
        <w:rPr>
          <w:rFonts w:ascii="David" w:hAnsi="David" w:cs="David"/>
          <w:b/>
          <w:bCs/>
          <w:sz w:val="26"/>
          <w:szCs w:val="26"/>
          <w:u w:val="single"/>
          <w:rtl/>
          <w:lang w:bidi="he-IL"/>
        </w:rPr>
        <w:t>בעניינו של החייב עד ליום 1.1.23</w:t>
      </w:r>
      <w:r>
        <w:rPr>
          <w:rFonts w:ascii="David" w:hAnsi="David" w:cs="David"/>
          <w:b/>
          <w:bCs/>
          <w:sz w:val="26"/>
          <w:szCs w:val="26"/>
          <w:rtl/>
          <w:lang w:bidi="he-IL"/>
        </w:rPr>
        <w:t>.</w:t>
      </w:r>
    </w:p>
    <w:p w:rsidR="00DD5279" w:rsidRDefault="00DD5279" w:rsidP="00DD5279">
      <w:pPr>
        <w:pStyle w:val="af1"/>
        <w:numPr>
          <w:ilvl w:val="0"/>
          <w:numId w:val="4"/>
        </w:numPr>
        <w:bidi/>
        <w:spacing w:after="360" w:line="360" w:lineRule="auto"/>
        <w:jc w:val="both"/>
        <w:rPr>
          <w:rFonts w:ascii="David" w:hAnsi="David" w:cs="David"/>
          <w:b/>
          <w:bCs/>
          <w:sz w:val="26"/>
          <w:szCs w:val="26"/>
          <w:u w:val="single"/>
          <w:lang w:bidi="he-IL"/>
        </w:rPr>
      </w:pPr>
      <w:r>
        <w:rPr>
          <w:rFonts w:ascii="David" w:hAnsi="David" w:cs="David" w:hint="cs"/>
          <w:b/>
          <w:bCs/>
          <w:sz w:val="26"/>
          <w:szCs w:val="26"/>
          <w:u w:val="single"/>
          <w:rtl/>
          <w:lang w:bidi="he-IL"/>
        </w:rPr>
        <w:t xml:space="preserve">ככל שיוחלט כי אין מקום להגשת כתב אישום, ניתן יהיה לשוב ולהידרש לבקשת ההפטר. </w:t>
      </w:r>
    </w:p>
    <w:p w:rsidR="00DD5279" w:rsidRDefault="00DD5279" w:rsidP="00DD5279">
      <w:pPr>
        <w:pStyle w:val="af1"/>
        <w:numPr>
          <w:ilvl w:val="0"/>
          <w:numId w:val="4"/>
        </w:numPr>
        <w:bidi/>
        <w:spacing w:after="360" w:line="360" w:lineRule="auto"/>
        <w:jc w:val="both"/>
        <w:rPr>
          <w:rFonts w:ascii="David" w:hAnsi="David" w:cs="David"/>
          <w:b/>
          <w:bCs/>
          <w:sz w:val="26"/>
          <w:szCs w:val="26"/>
          <w:u w:val="single"/>
          <w:lang w:bidi="he-IL"/>
        </w:rPr>
      </w:pPr>
      <w:r>
        <w:rPr>
          <w:rFonts w:ascii="David" w:hAnsi="David" w:cs="David" w:hint="cs"/>
          <w:b/>
          <w:bCs/>
          <w:sz w:val="26"/>
          <w:szCs w:val="26"/>
          <w:u w:val="single"/>
          <w:rtl/>
          <w:lang w:bidi="he-IL"/>
        </w:rPr>
        <w:t xml:space="preserve">ככל שיוחלט על הגשת כתב אישום, יימסר לחייב חומר החקירה ובמידה ויבקש לחדש את הבקשה, הוא יוכל להתייחס לחומר זה ולהגיש תגובה מנומקת, לצורך ההכרעה בבקשת ההפטר. </w:t>
      </w:r>
    </w:p>
    <w:p w:rsidR="00BB6883" w:rsidRPr="00DD5279" w:rsidRDefault="00BB6883" w:rsidP="00BB6883">
      <w:pPr>
        <w:pStyle w:val="af1"/>
        <w:bidi/>
        <w:spacing w:after="360" w:line="360" w:lineRule="auto"/>
        <w:ind w:left="869"/>
        <w:jc w:val="both"/>
        <w:rPr>
          <w:rFonts w:ascii="David" w:hAnsi="David" w:cs="David"/>
          <w:b/>
          <w:bCs/>
          <w:sz w:val="26"/>
          <w:szCs w:val="26"/>
          <w:u w:val="single"/>
          <w:lang w:bidi="he-IL"/>
        </w:rPr>
      </w:pPr>
    </w:p>
    <w:p w:rsidR="00214F7B" w:rsidRPr="001659F4" w:rsidRDefault="00214F7B" w:rsidP="00BB6883">
      <w:pPr>
        <w:pStyle w:val="af1"/>
        <w:numPr>
          <w:ilvl w:val="0"/>
          <w:numId w:val="2"/>
        </w:numPr>
        <w:bidi/>
        <w:spacing w:after="360" w:line="360" w:lineRule="auto"/>
        <w:ind w:left="509"/>
        <w:jc w:val="both"/>
        <w:rPr>
          <w:rFonts w:ascii="David" w:hAnsi="David" w:cs="David"/>
          <w:sz w:val="26"/>
          <w:szCs w:val="26"/>
          <w:rtl/>
        </w:rPr>
      </w:pPr>
      <w:r w:rsidRPr="001659F4">
        <w:rPr>
          <w:rFonts w:ascii="David" w:hAnsi="David" w:cs="David"/>
          <w:sz w:val="26"/>
          <w:szCs w:val="26"/>
          <w:rtl/>
          <w:lang w:bidi="he-IL"/>
        </w:rPr>
        <w:t xml:space="preserve">לתוצאה האמורה אני מגיע על יסוד העובדה, שבשלב זה אין זה ראוי לקבל החלטה בבקשת ההפטר, כאשר רב הנסתר על הגלוי, בנוגע להתנהלותו של החייב במסגרת הליך פשיטת הרגל. יסודות ההפטר נטועים היטב בחובתו של החייב לנהוג בתום לב במסגרת הליכי פשיטת הרגל ובתקופה שקדמה לו. אין אנו עוסקים בשלב שטרם הליך פשיטת הרגל, אך </w:t>
      </w:r>
      <w:r w:rsidR="00F9572C" w:rsidRPr="001659F4">
        <w:rPr>
          <w:rFonts w:ascii="David" w:hAnsi="David" w:cs="David" w:hint="cs"/>
          <w:sz w:val="26"/>
          <w:szCs w:val="26"/>
          <w:rtl/>
          <w:lang w:bidi="he-IL"/>
        </w:rPr>
        <w:t>מדובר ב</w:t>
      </w:r>
      <w:r w:rsidRPr="001659F4">
        <w:rPr>
          <w:rFonts w:ascii="David" w:hAnsi="David" w:cs="David"/>
          <w:sz w:val="26"/>
          <w:szCs w:val="26"/>
          <w:rtl/>
          <w:lang w:bidi="he-IL"/>
        </w:rPr>
        <w:t xml:space="preserve">גורם אשר ישפיע בבוא היום להכריע בעניין זה. בכל הנוגע </w:t>
      </w:r>
      <w:r w:rsidR="00F9572C" w:rsidRPr="001659F4">
        <w:rPr>
          <w:rFonts w:ascii="David" w:hAnsi="David" w:cs="David" w:hint="cs"/>
          <w:sz w:val="26"/>
          <w:szCs w:val="26"/>
          <w:rtl/>
          <w:lang w:bidi="he-IL"/>
        </w:rPr>
        <w:t>לסוגיה זו נקבעו</w:t>
      </w:r>
      <w:r w:rsidRPr="001659F4">
        <w:rPr>
          <w:rFonts w:ascii="David" w:hAnsi="David" w:cs="David"/>
          <w:sz w:val="26"/>
          <w:szCs w:val="26"/>
          <w:rtl/>
          <w:lang w:bidi="he-IL"/>
        </w:rPr>
        <w:t xml:space="preserve"> בע"א 6892/18 </w:t>
      </w:r>
      <w:r w:rsidRPr="001659F4">
        <w:rPr>
          <w:rFonts w:ascii="David" w:hAnsi="David" w:cs="David"/>
          <w:b/>
          <w:bCs/>
          <w:sz w:val="26"/>
          <w:szCs w:val="26"/>
          <w:rtl/>
          <w:lang w:bidi="he-IL"/>
        </w:rPr>
        <w:t>עמוס אמיר רפאל נ' יעקב זיסמן – מנהל מיוחד</w:t>
      </w:r>
      <w:r w:rsidRPr="001659F4">
        <w:rPr>
          <w:rFonts w:ascii="David" w:hAnsi="David" w:cs="David"/>
          <w:sz w:val="26"/>
          <w:szCs w:val="26"/>
          <w:rtl/>
          <w:lang w:bidi="he-IL"/>
        </w:rPr>
        <w:t xml:space="preserve"> (18.12.19) הדברים הבאים, שיפים גם לענייננו (ההדגשות אינן במקור):</w:t>
      </w:r>
    </w:p>
    <w:p w:rsidR="00F46429" w:rsidRDefault="00214F7B" w:rsidP="00425A78">
      <w:pPr>
        <w:pStyle w:val="af1"/>
        <w:bidi/>
        <w:spacing w:after="360" w:line="360" w:lineRule="auto"/>
        <w:ind w:left="869" w:right="1134"/>
        <w:jc w:val="both"/>
        <w:rPr>
          <w:rFonts w:ascii="David" w:hAnsi="David" w:cs="David"/>
          <w:b/>
          <w:bCs/>
          <w:sz w:val="26"/>
          <w:szCs w:val="26"/>
          <w:rtl/>
          <w:lang w:bidi="he-IL"/>
        </w:rPr>
      </w:pPr>
      <w:r>
        <w:rPr>
          <w:rFonts w:ascii="David" w:hAnsi="David" w:cs="Times New Roman"/>
          <w:b/>
          <w:bCs/>
          <w:sz w:val="26"/>
          <w:szCs w:val="26"/>
          <w:rtl/>
        </w:rPr>
        <w:t>"</w:t>
      </w:r>
      <w:r>
        <w:rPr>
          <w:rFonts w:ascii="David" w:hAnsi="David" w:cs="David"/>
          <w:b/>
          <w:bCs/>
          <w:sz w:val="26"/>
          <w:szCs w:val="26"/>
          <w:rtl/>
          <w:lang w:bidi="he-IL"/>
        </w:rPr>
        <w:t>החובה לנהוג בתום לב כתנאי להכרזת חייב פושט רגל קיבלה ביטוי ברור במסגרת סעיף</w:t>
      </w:r>
      <w:r>
        <w:rPr>
          <w:rFonts w:ascii="David" w:hAnsi="David" w:cs="Times New Roman"/>
          <w:b/>
          <w:bCs/>
          <w:sz w:val="26"/>
          <w:szCs w:val="26"/>
          <w:rtl/>
        </w:rPr>
        <w:t xml:space="preserve"> 18</w:t>
      </w:r>
      <w:r>
        <w:rPr>
          <w:rFonts w:ascii="David" w:hAnsi="David" w:cs="David"/>
          <w:b/>
          <w:bCs/>
          <w:sz w:val="26"/>
          <w:szCs w:val="26"/>
          <w:rtl/>
          <w:lang w:bidi="he-IL"/>
        </w:rPr>
        <w:t>ה</w:t>
      </w:r>
      <w:r>
        <w:rPr>
          <w:rFonts w:ascii="David" w:hAnsi="David" w:cs="Times New Roman"/>
          <w:b/>
          <w:bCs/>
          <w:sz w:val="26"/>
          <w:szCs w:val="26"/>
          <w:rtl/>
        </w:rPr>
        <w:t>(</w:t>
      </w:r>
      <w:r>
        <w:rPr>
          <w:rFonts w:ascii="David" w:hAnsi="David" w:cs="David"/>
          <w:b/>
          <w:bCs/>
          <w:sz w:val="26"/>
          <w:szCs w:val="26"/>
          <w:rtl/>
          <w:lang w:bidi="he-IL"/>
        </w:rPr>
        <w:t>א</w:t>
      </w:r>
      <w:r>
        <w:rPr>
          <w:rFonts w:ascii="David" w:hAnsi="David" w:cs="Times New Roman"/>
          <w:b/>
          <w:bCs/>
          <w:sz w:val="26"/>
          <w:szCs w:val="26"/>
          <w:rtl/>
        </w:rPr>
        <w:t xml:space="preserve">)(2) </w:t>
      </w:r>
      <w:r>
        <w:rPr>
          <w:rFonts w:ascii="David" w:hAnsi="David" w:cs="David"/>
          <w:b/>
          <w:bCs/>
          <w:sz w:val="26"/>
          <w:szCs w:val="26"/>
          <w:rtl/>
          <w:lang w:bidi="he-IL"/>
        </w:rPr>
        <w:t xml:space="preserve">לפקודת פשיטת הרגל </w:t>
      </w:r>
      <w:r>
        <w:rPr>
          <w:rFonts w:ascii="David" w:hAnsi="David" w:cs="Times New Roman"/>
          <w:b/>
          <w:bCs/>
          <w:sz w:val="26"/>
          <w:szCs w:val="26"/>
          <w:rtl/>
        </w:rPr>
        <w:t>(</w:t>
      </w:r>
      <w:r>
        <w:rPr>
          <w:rFonts w:ascii="David" w:hAnsi="David" w:cs="David"/>
          <w:b/>
          <w:bCs/>
          <w:sz w:val="26"/>
          <w:szCs w:val="26"/>
          <w:rtl/>
          <w:lang w:bidi="he-IL"/>
        </w:rPr>
        <w:t>להלן</w:t>
      </w:r>
      <w:r>
        <w:rPr>
          <w:rFonts w:ascii="David" w:hAnsi="David" w:cs="Times New Roman"/>
          <w:b/>
          <w:bCs/>
          <w:sz w:val="26"/>
          <w:szCs w:val="26"/>
          <w:rtl/>
        </w:rPr>
        <w:t xml:space="preserve">: </w:t>
      </w:r>
      <w:r>
        <w:rPr>
          <w:rFonts w:ascii="David" w:hAnsi="David" w:cs="David"/>
          <w:b/>
          <w:bCs/>
          <w:sz w:val="26"/>
          <w:szCs w:val="26"/>
          <w:rtl/>
          <w:lang w:bidi="he-IL"/>
        </w:rPr>
        <w:t>הפקודה</w:t>
      </w:r>
      <w:r>
        <w:rPr>
          <w:rFonts w:ascii="David" w:hAnsi="David" w:cs="Times New Roman"/>
          <w:b/>
          <w:bCs/>
          <w:sz w:val="26"/>
          <w:szCs w:val="26"/>
          <w:rtl/>
        </w:rPr>
        <w:t xml:space="preserve">), </w:t>
      </w:r>
      <w:r>
        <w:rPr>
          <w:rFonts w:ascii="David" w:hAnsi="David" w:cs="David"/>
          <w:b/>
          <w:bCs/>
          <w:sz w:val="26"/>
          <w:szCs w:val="26"/>
          <w:rtl/>
          <w:lang w:bidi="he-IL"/>
        </w:rPr>
        <w:t xml:space="preserve">הקובע כי הגשת בקשה </w:t>
      </w:r>
      <w:r>
        <w:rPr>
          <w:rFonts w:ascii="David" w:hAnsi="David" w:cs="Times New Roman"/>
          <w:b/>
          <w:bCs/>
          <w:sz w:val="26"/>
          <w:szCs w:val="26"/>
          <w:rtl/>
        </w:rPr>
        <w:t>"</w:t>
      </w:r>
      <w:r>
        <w:rPr>
          <w:rFonts w:ascii="David" w:hAnsi="David" w:cs="David"/>
          <w:b/>
          <w:bCs/>
          <w:sz w:val="26"/>
          <w:szCs w:val="26"/>
          <w:rtl/>
          <w:lang w:bidi="he-IL"/>
        </w:rPr>
        <w:t>שלא בתום לב</w:t>
      </w:r>
      <w:r>
        <w:rPr>
          <w:rFonts w:ascii="David" w:hAnsi="David" w:cs="Times New Roman"/>
          <w:b/>
          <w:bCs/>
          <w:sz w:val="26"/>
          <w:szCs w:val="26"/>
          <w:rtl/>
        </w:rPr>
        <w:t xml:space="preserve">, </w:t>
      </w:r>
      <w:r>
        <w:rPr>
          <w:rFonts w:ascii="David" w:hAnsi="David" w:cs="David"/>
          <w:b/>
          <w:bCs/>
          <w:sz w:val="26"/>
          <w:szCs w:val="26"/>
          <w:rtl/>
          <w:lang w:bidi="he-IL"/>
        </w:rPr>
        <w:t>במטרה לנצל לרעה את הליכי פשיטת הרגל</w:t>
      </w:r>
      <w:r>
        <w:rPr>
          <w:rFonts w:ascii="David" w:hAnsi="David" w:cs="Times New Roman"/>
          <w:b/>
          <w:bCs/>
          <w:sz w:val="26"/>
          <w:szCs w:val="26"/>
          <w:rtl/>
        </w:rPr>
        <w:t xml:space="preserve">", </w:t>
      </w:r>
      <w:r>
        <w:rPr>
          <w:rFonts w:ascii="David" w:hAnsi="David" w:cs="David"/>
          <w:b/>
          <w:bCs/>
          <w:sz w:val="26"/>
          <w:szCs w:val="26"/>
          <w:rtl/>
          <w:lang w:bidi="he-IL"/>
        </w:rPr>
        <w:t>מצדיקה את דחייתה</w:t>
      </w:r>
      <w:r>
        <w:rPr>
          <w:rFonts w:ascii="David" w:hAnsi="David" w:cs="Times New Roman"/>
          <w:b/>
          <w:bCs/>
          <w:sz w:val="26"/>
          <w:szCs w:val="26"/>
          <w:rtl/>
        </w:rPr>
        <w:t xml:space="preserve">. </w:t>
      </w:r>
      <w:r>
        <w:rPr>
          <w:rFonts w:ascii="David" w:hAnsi="David" w:cs="David"/>
          <w:b/>
          <w:bCs/>
          <w:sz w:val="26"/>
          <w:szCs w:val="26"/>
          <w:rtl/>
          <w:lang w:bidi="he-IL"/>
        </w:rPr>
        <w:t xml:space="preserve">חובה זו מתפרשת על שתי תקופות </w:t>
      </w:r>
      <w:r>
        <w:rPr>
          <w:rFonts w:ascii="David" w:hAnsi="David" w:cs="Times New Roman"/>
          <w:b/>
          <w:bCs/>
          <w:sz w:val="26"/>
          <w:szCs w:val="26"/>
          <w:rtl/>
        </w:rPr>
        <w:t xml:space="preserve">– </w:t>
      </w:r>
      <w:r>
        <w:rPr>
          <w:rFonts w:ascii="David" w:hAnsi="David" w:cs="David"/>
          <w:b/>
          <w:bCs/>
          <w:sz w:val="26"/>
          <w:szCs w:val="26"/>
          <w:rtl/>
          <w:lang w:bidi="he-IL"/>
        </w:rPr>
        <w:t>הן על התקופה הקודמת להליך</w:t>
      </w:r>
      <w:r>
        <w:rPr>
          <w:rFonts w:ascii="David" w:hAnsi="David" w:cs="Times New Roman"/>
          <w:b/>
          <w:bCs/>
          <w:sz w:val="26"/>
          <w:szCs w:val="26"/>
          <w:rtl/>
        </w:rPr>
        <w:t xml:space="preserve">, </w:t>
      </w:r>
      <w:r>
        <w:rPr>
          <w:rFonts w:ascii="David" w:hAnsi="David" w:cs="David"/>
          <w:b/>
          <w:bCs/>
          <w:sz w:val="26"/>
          <w:szCs w:val="26"/>
          <w:rtl/>
          <w:lang w:bidi="he-IL"/>
        </w:rPr>
        <w:t>בעת שנוצרו החובות</w:t>
      </w:r>
      <w:r>
        <w:rPr>
          <w:rFonts w:ascii="David" w:hAnsi="David" w:cs="Times New Roman"/>
          <w:b/>
          <w:bCs/>
          <w:sz w:val="26"/>
          <w:szCs w:val="26"/>
          <w:rtl/>
        </w:rPr>
        <w:t xml:space="preserve">; </w:t>
      </w:r>
      <w:r>
        <w:rPr>
          <w:rFonts w:ascii="David" w:hAnsi="David" w:cs="David"/>
          <w:b/>
          <w:bCs/>
          <w:sz w:val="26"/>
          <w:szCs w:val="26"/>
          <w:rtl/>
          <w:lang w:bidi="he-IL"/>
        </w:rPr>
        <w:t xml:space="preserve">והן על התקופה החל ממועד פתיחת הליכי הכינוס ועד הדיון בבקשה על ההכרזה כאמור </w:t>
      </w:r>
      <w:r>
        <w:rPr>
          <w:rFonts w:ascii="David" w:hAnsi="David" w:cs="Times New Roman"/>
          <w:b/>
          <w:bCs/>
          <w:sz w:val="26"/>
          <w:szCs w:val="26"/>
          <w:rtl/>
        </w:rPr>
        <w:t>(</w:t>
      </w:r>
      <w:r>
        <w:rPr>
          <w:rFonts w:ascii="David" w:hAnsi="David" w:cs="David"/>
          <w:b/>
          <w:bCs/>
          <w:sz w:val="26"/>
          <w:szCs w:val="26"/>
          <w:rtl/>
          <w:lang w:bidi="he-IL"/>
        </w:rPr>
        <w:t>ע</w:t>
      </w:r>
      <w:r>
        <w:rPr>
          <w:rFonts w:ascii="David" w:hAnsi="David" w:cs="Times New Roman"/>
          <w:b/>
          <w:bCs/>
          <w:sz w:val="26"/>
          <w:szCs w:val="26"/>
          <w:rtl/>
        </w:rPr>
        <w:t>"</w:t>
      </w:r>
      <w:r>
        <w:rPr>
          <w:rFonts w:ascii="David" w:hAnsi="David" w:cs="David"/>
          <w:b/>
          <w:bCs/>
          <w:sz w:val="26"/>
          <w:szCs w:val="26"/>
          <w:rtl/>
          <w:lang w:bidi="he-IL"/>
        </w:rPr>
        <w:t xml:space="preserve">א </w:t>
      </w:r>
      <w:r>
        <w:rPr>
          <w:rFonts w:ascii="David" w:hAnsi="David" w:cs="Times New Roman"/>
          <w:b/>
          <w:bCs/>
          <w:sz w:val="26"/>
          <w:szCs w:val="26"/>
          <w:rtl/>
        </w:rPr>
        <w:t xml:space="preserve">307/12 </w:t>
      </w:r>
      <w:r>
        <w:rPr>
          <w:rFonts w:ascii="David" w:hAnsi="David" w:cs="David"/>
          <w:b/>
          <w:bCs/>
          <w:sz w:val="26"/>
          <w:szCs w:val="26"/>
          <w:rtl/>
          <w:lang w:bidi="he-IL"/>
        </w:rPr>
        <w:t>בלום נ</w:t>
      </w:r>
      <w:r>
        <w:rPr>
          <w:rFonts w:ascii="David" w:hAnsi="David" w:cs="Times New Roman"/>
          <w:b/>
          <w:bCs/>
          <w:sz w:val="26"/>
          <w:szCs w:val="26"/>
          <w:rtl/>
        </w:rPr>
        <w:t xml:space="preserve">' </w:t>
      </w:r>
      <w:r>
        <w:rPr>
          <w:rFonts w:ascii="David" w:hAnsi="David" w:cs="David"/>
          <w:b/>
          <w:bCs/>
          <w:sz w:val="26"/>
          <w:szCs w:val="26"/>
          <w:rtl/>
          <w:lang w:bidi="he-IL"/>
        </w:rPr>
        <w:t>כונס הנכסים הרשמי</w:t>
      </w:r>
      <w:r>
        <w:rPr>
          <w:rFonts w:ascii="David" w:hAnsi="David" w:cs="Times New Roman"/>
          <w:b/>
          <w:bCs/>
          <w:sz w:val="26"/>
          <w:szCs w:val="26"/>
          <w:rtl/>
        </w:rPr>
        <w:t>, [</w:t>
      </w:r>
      <w:r>
        <w:rPr>
          <w:rFonts w:ascii="David" w:hAnsi="David" w:cs="David"/>
          <w:b/>
          <w:bCs/>
          <w:sz w:val="26"/>
          <w:szCs w:val="26"/>
          <w:rtl/>
          <w:lang w:bidi="he-IL"/>
        </w:rPr>
        <w:t>פורסם בנבו</w:t>
      </w:r>
      <w:r>
        <w:rPr>
          <w:rFonts w:ascii="David" w:hAnsi="David" w:cs="Times New Roman"/>
          <w:b/>
          <w:bCs/>
          <w:sz w:val="26"/>
          <w:szCs w:val="26"/>
          <w:rtl/>
        </w:rPr>
        <w:t xml:space="preserve">] </w:t>
      </w:r>
      <w:r>
        <w:rPr>
          <w:rFonts w:ascii="David" w:hAnsi="David" w:cs="David"/>
          <w:b/>
          <w:bCs/>
          <w:sz w:val="26"/>
          <w:szCs w:val="26"/>
          <w:rtl/>
          <w:lang w:bidi="he-IL"/>
        </w:rPr>
        <w:t xml:space="preserve">פסקה </w:t>
      </w:r>
      <w:r>
        <w:rPr>
          <w:rFonts w:ascii="David" w:hAnsi="David" w:cs="Times New Roman"/>
          <w:b/>
          <w:bCs/>
          <w:sz w:val="26"/>
          <w:szCs w:val="26"/>
          <w:rtl/>
        </w:rPr>
        <w:t xml:space="preserve">16 (14.8.2012); </w:t>
      </w:r>
      <w:r>
        <w:rPr>
          <w:rFonts w:ascii="David" w:hAnsi="David" w:cs="David"/>
          <w:b/>
          <w:bCs/>
          <w:sz w:val="26"/>
          <w:szCs w:val="26"/>
          <w:rtl/>
          <w:lang w:bidi="he-IL"/>
        </w:rPr>
        <w:t>עניין גוטמן</w:t>
      </w:r>
      <w:r>
        <w:rPr>
          <w:rFonts w:ascii="David" w:hAnsi="David" w:cs="Times New Roman"/>
          <w:b/>
          <w:bCs/>
          <w:sz w:val="26"/>
          <w:szCs w:val="26"/>
          <w:rtl/>
        </w:rPr>
        <w:t xml:space="preserve">, </w:t>
      </w:r>
      <w:r>
        <w:rPr>
          <w:rFonts w:ascii="David" w:hAnsi="David" w:cs="David"/>
          <w:b/>
          <w:bCs/>
          <w:sz w:val="26"/>
          <w:szCs w:val="26"/>
          <w:rtl/>
          <w:lang w:bidi="he-IL"/>
        </w:rPr>
        <w:t xml:space="preserve">פסקה </w:t>
      </w:r>
      <w:r>
        <w:rPr>
          <w:rFonts w:ascii="David" w:hAnsi="David" w:cs="Times New Roman"/>
          <w:b/>
          <w:bCs/>
          <w:sz w:val="26"/>
          <w:szCs w:val="26"/>
          <w:rtl/>
        </w:rPr>
        <w:t xml:space="preserve">14; </w:t>
      </w:r>
      <w:r>
        <w:rPr>
          <w:rFonts w:ascii="David" w:hAnsi="David" w:cs="David"/>
          <w:b/>
          <w:bCs/>
          <w:sz w:val="26"/>
          <w:szCs w:val="26"/>
          <w:rtl/>
          <w:lang w:bidi="he-IL"/>
        </w:rPr>
        <w:t xml:space="preserve">שלמה לוין ואשר גרוניס פשיטת רגל </w:t>
      </w:r>
      <w:r>
        <w:rPr>
          <w:rFonts w:ascii="David" w:hAnsi="David" w:cs="Times New Roman"/>
          <w:b/>
          <w:bCs/>
          <w:sz w:val="26"/>
          <w:szCs w:val="26"/>
          <w:rtl/>
        </w:rPr>
        <w:t>173 (</w:t>
      </w:r>
      <w:r>
        <w:rPr>
          <w:rFonts w:ascii="David" w:hAnsi="David" w:cs="David"/>
          <w:b/>
          <w:bCs/>
          <w:sz w:val="26"/>
          <w:szCs w:val="26"/>
          <w:rtl/>
          <w:lang w:bidi="he-IL"/>
        </w:rPr>
        <w:t>מהדורה שלישית</w:t>
      </w:r>
      <w:r>
        <w:rPr>
          <w:rFonts w:ascii="David" w:hAnsi="David" w:cs="Times New Roman"/>
          <w:b/>
          <w:bCs/>
          <w:sz w:val="26"/>
          <w:szCs w:val="26"/>
          <w:rtl/>
        </w:rPr>
        <w:t xml:space="preserve">, 2010)). </w:t>
      </w:r>
      <w:r>
        <w:rPr>
          <w:rFonts w:ascii="David" w:hAnsi="David" w:cs="David"/>
          <w:b/>
          <w:bCs/>
          <w:sz w:val="26"/>
          <w:szCs w:val="26"/>
          <w:rtl/>
          <w:lang w:bidi="he-IL"/>
        </w:rPr>
        <w:t>במסגרת בחינת תום הלב במהלך תקופת היווצרות החובות</w:t>
      </w:r>
      <w:r>
        <w:rPr>
          <w:rFonts w:ascii="David" w:hAnsi="David" w:cs="Times New Roman"/>
          <w:b/>
          <w:bCs/>
          <w:sz w:val="26"/>
          <w:szCs w:val="26"/>
          <w:rtl/>
        </w:rPr>
        <w:t xml:space="preserve">, </w:t>
      </w:r>
      <w:r>
        <w:rPr>
          <w:rFonts w:ascii="David" w:hAnsi="David" w:cs="David"/>
          <w:b/>
          <w:bCs/>
          <w:sz w:val="26"/>
          <w:szCs w:val="26"/>
          <w:rtl/>
          <w:lang w:bidi="he-IL"/>
        </w:rPr>
        <w:t>נבחנת התנהלותו של החייב באותה עת</w:t>
      </w:r>
      <w:r>
        <w:rPr>
          <w:rFonts w:ascii="David" w:hAnsi="David" w:cs="Times New Roman"/>
          <w:b/>
          <w:bCs/>
          <w:sz w:val="26"/>
          <w:szCs w:val="26"/>
          <w:rtl/>
        </w:rPr>
        <w:t xml:space="preserve">, </w:t>
      </w:r>
      <w:r>
        <w:rPr>
          <w:rFonts w:ascii="David" w:hAnsi="David" w:cs="David"/>
          <w:b/>
          <w:bCs/>
          <w:sz w:val="26"/>
          <w:szCs w:val="26"/>
          <w:rtl/>
          <w:lang w:bidi="he-IL"/>
        </w:rPr>
        <w:t>ובכלל זה אם צבירת חובותיו הייתה כרוכה בפגיעה בתקנת הציבור או בחוק</w:t>
      </w:r>
      <w:r>
        <w:rPr>
          <w:rFonts w:ascii="David" w:hAnsi="David" w:cs="Times New Roman"/>
          <w:b/>
          <w:bCs/>
          <w:sz w:val="26"/>
          <w:szCs w:val="26"/>
          <w:rtl/>
        </w:rPr>
        <w:t xml:space="preserve">, </w:t>
      </w:r>
      <w:r>
        <w:rPr>
          <w:rFonts w:ascii="David" w:hAnsi="David" w:cs="David"/>
          <w:b/>
          <w:bCs/>
          <w:sz w:val="26"/>
          <w:szCs w:val="26"/>
          <w:rtl/>
          <w:lang w:bidi="he-IL"/>
        </w:rPr>
        <w:t>או אם פעל שלא בהגינות כלפי נושיו</w:t>
      </w:r>
      <w:r>
        <w:rPr>
          <w:rFonts w:ascii="David" w:hAnsi="David" w:cs="Times New Roman"/>
          <w:b/>
          <w:bCs/>
          <w:sz w:val="26"/>
          <w:szCs w:val="26"/>
          <w:rtl/>
        </w:rPr>
        <w:t xml:space="preserve">. </w:t>
      </w:r>
      <w:r>
        <w:rPr>
          <w:rFonts w:ascii="David" w:hAnsi="David" w:cs="David"/>
          <w:b/>
          <w:bCs/>
          <w:sz w:val="26"/>
          <w:szCs w:val="26"/>
          <w:u w:val="single"/>
          <w:rtl/>
          <w:lang w:bidi="he-IL"/>
        </w:rPr>
        <w:t>בחינת תום הלב במסגרת השלב השני</w:t>
      </w:r>
      <w:r>
        <w:rPr>
          <w:rFonts w:ascii="David" w:hAnsi="David" w:cs="Times New Roman"/>
          <w:b/>
          <w:bCs/>
          <w:sz w:val="26"/>
          <w:szCs w:val="26"/>
          <w:u w:val="single"/>
          <w:rtl/>
        </w:rPr>
        <w:t xml:space="preserve">, </w:t>
      </w:r>
      <w:r>
        <w:rPr>
          <w:rFonts w:ascii="David" w:hAnsi="David" w:cs="David"/>
          <w:b/>
          <w:bCs/>
          <w:sz w:val="26"/>
          <w:szCs w:val="26"/>
          <w:u w:val="single"/>
          <w:rtl/>
          <w:lang w:bidi="he-IL"/>
        </w:rPr>
        <w:t>במסגרת הליכי הכינוס</w:t>
      </w:r>
      <w:r>
        <w:rPr>
          <w:rFonts w:ascii="David" w:hAnsi="David" w:cs="Times New Roman"/>
          <w:b/>
          <w:bCs/>
          <w:sz w:val="26"/>
          <w:szCs w:val="26"/>
          <w:u w:val="single"/>
          <w:rtl/>
        </w:rPr>
        <w:t xml:space="preserve">, </w:t>
      </w:r>
      <w:r>
        <w:rPr>
          <w:rFonts w:ascii="David" w:hAnsi="David" w:cs="David"/>
          <w:b/>
          <w:bCs/>
          <w:sz w:val="26"/>
          <w:szCs w:val="26"/>
          <w:u w:val="single"/>
          <w:rtl/>
          <w:lang w:bidi="he-IL"/>
        </w:rPr>
        <w:t>מתמקדת בשיתוף הפעולה של החייב עם בעל התפקיד וחשיפת כלל המידע הנדרש להערכת היקף נכסיו וכושר השתכרותו</w:t>
      </w:r>
      <w:r>
        <w:rPr>
          <w:rFonts w:ascii="David" w:hAnsi="David" w:cs="Times New Roman"/>
          <w:b/>
          <w:bCs/>
          <w:sz w:val="26"/>
          <w:szCs w:val="26"/>
          <w:rtl/>
        </w:rPr>
        <w:t xml:space="preserve"> (</w:t>
      </w:r>
      <w:r>
        <w:rPr>
          <w:rFonts w:ascii="David" w:hAnsi="David" w:cs="David"/>
          <w:b/>
          <w:bCs/>
          <w:sz w:val="26"/>
          <w:szCs w:val="26"/>
          <w:rtl/>
          <w:lang w:bidi="he-IL"/>
        </w:rPr>
        <w:t>עניין גוטמן</w:t>
      </w:r>
      <w:r>
        <w:rPr>
          <w:rFonts w:ascii="David" w:hAnsi="David" w:cs="Times New Roman"/>
          <w:b/>
          <w:bCs/>
          <w:sz w:val="26"/>
          <w:szCs w:val="26"/>
          <w:rtl/>
        </w:rPr>
        <w:t xml:space="preserve">, </w:t>
      </w:r>
      <w:r>
        <w:rPr>
          <w:rFonts w:ascii="David" w:hAnsi="David" w:cs="David"/>
          <w:b/>
          <w:bCs/>
          <w:sz w:val="26"/>
          <w:szCs w:val="26"/>
          <w:rtl/>
          <w:lang w:bidi="he-IL"/>
        </w:rPr>
        <w:t xml:space="preserve">פסקאות </w:t>
      </w:r>
      <w:r>
        <w:rPr>
          <w:rFonts w:ascii="David" w:hAnsi="David" w:cs="Times New Roman"/>
          <w:b/>
          <w:bCs/>
          <w:sz w:val="26"/>
          <w:szCs w:val="26"/>
          <w:rtl/>
        </w:rPr>
        <w:t xml:space="preserve">24-21; </w:t>
      </w:r>
      <w:r>
        <w:rPr>
          <w:rFonts w:ascii="David" w:hAnsi="David" w:cs="David"/>
          <w:b/>
          <w:bCs/>
          <w:sz w:val="26"/>
          <w:szCs w:val="26"/>
          <w:rtl/>
          <w:lang w:bidi="he-IL"/>
        </w:rPr>
        <w:t>ע</w:t>
      </w:r>
      <w:r>
        <w:rPr>
          <w:rFonts w:ascii="David" w:hAnsi="David" w:cs="Times New Roman"/>
          <w:b/>
          <w:bCs/>
          <w:sz w:val="26"/>
          <w:szCs w:val="26"/>
          <w:rtl/>
        </w:rPr>
        <w:t>"</w:t>
      </w:r>
      <w:r>
        <w:rPr>
          <w:rFonts w:ascii="David" w:hAnsi="David" w:cs="David"/>
          <w:b/>
          <w:bCs/>
          <w:sz w:val="26"/>
          <w:szCs w:val="26"/>
          <w:rtl/>
          <w:lang w:bidi="he-IL"/>
        </w:rPr>
        <w:t xml:space="preserve">א </w:t>
      </w:r>
      <w:r>
        <w:rPr>
          <w:rFonts w:ascii="David" w:hAnsi="David" w:cs="Times New Roman"/>
          <w:b/>
          <w:bCs/>
          <w:sz w:val="26"/>
          <w:szCs w:val="26"/>
          <w:rtl/>
        </w:rPr>
        <w:t xml:space="preserve">3382/17 </w:t>
      </w:r>
      <w:r>
        <w:rPr>
          <w:rFonts w:ascii="David" w:hAnsi="David" w:cs="David"/>
          <w:b/>
          <w:bCs/>
          <w:sz w:val="26"/>
          <w:szCs w:val="26"/>
          <w:rtl/>
          <w:lang w:bidi="he-IL"/>
        </w:rPr>
        <w:t>צימבר נ</w:t>
      </w:r>
      <w:r>
        <w:rPr>
          <w:rFonts w:ascii="David" w:hAnsi="David" w:cs="Times New Roman"/>
          <w:b/>
          <w:bCs/>
          <w:sz w:val="26"/>
          <w:szCs w:val="26"/>
          <w:rtl/>
        </w:rPr>
        <w:t xml:space="preserve">' </w:t>
      </w:r>
      <w:r>
        <w:rPr>
          <w:rFonts w:ascii="David" w:hAnsi="David" w:cs="David"/>
          <w:b/>
          <w:bCs/>
          <w:sz w:val="26"/>
          <w:szCs w:val="26"/>
          <w:rtl/>
          <w:lang w:bidi="he-IL"/>
        </w:rPr>
        <w:t>סמט</w:t>
      </w:r>
      <w:r>
        <w:rPr>
          <w:rFonts w:ascii="David" w:hAnsi="David" w:cs="Times New Roman"/>
          <w:b/>
          <w:bCs/>
          <w:sz w:val="26"/>
          <w:szCs w:val="26"/>
          <w:rtl/>
        </w:rPr>
        <w:t>, [</w:t>
      </w:r>
      <w:r>
        <w:rPr>
          <w:rFonts w:ascii="David" w:hAnsi="David" w:cs="David"/>
          <w:b/>
          <w:bCs/>
          <w:sz w:val="26"/>
          <w:szCs w:val="26"/>
          <w:rtl/>
          <w:lang w:bidi="he-IL"/>
        </w:rPr>
        <w:t>פורסם בנבו</w:t>
      </w:r>
      <w:r>
        <w:rPr>
          <w:rFonts w:ascii="David" w:hAnsi="David" w:cs="Times New Roman"/>
          <w:b/>
          <w:bCs/>
          <w:sz w:val="26"/>
          <w:szCs w:val="26"/>
          <w:rtl/>
        </w:rPr>
        <w:t xml:space="preserve">] </w:t>
      </w:r>
      <w:r>
        <w:rPr>
          <w:rFonts w:ascii="David" w:hAnsi="David" w:cs="David"/>
          <w:b/>
          <w:bCs/>
          <w:sz w:val="26"/>
          <w:szCs w:val="26"/>
          <w:rtl/>
          <w:lang w:bidi="he-IL"/>
        </w:rPr>
        <w:t xml:space="preserve">פסקה </w:t>
      </w:r>
      <w:r>
        <w:rPr>
          <w:rFonts w:ascii="David" w:hAnsi="David" w:cs="Times New Roman"/>
          <w:b/>
          <w:bCs/>
          <w:sz w:val="26"/>
          <w:szCs w:val="26"/>
          <w:rtl/>
        </w:rPr>
        <w:t>14</w:t>
      </w:r>
      <w:r>
        <w:rPr>
          <w:rFonts w:ascii="David" w:hAnsi="David" w:cs="David"/>
          <w:b/>
          <w:bCs/>
          <w:sz w:val="26"/>
          <w:szCs w:val="26"/>
          <w:lang w:bidi="he-IL"/>
        </w:rPr>
        <w:t xml:space="preserve"> (29.8.2018)</w:t>
      </w:r>
      <w:r>
        <w:rPr>
          <w:rFonts w:ascii="David" w:hAnsi="David" w:cs="Times New Roman"/>
          <w:b/>
          <w:bCs/>
          <w:sz w:val="26"/>
          <w:szCs w:val="26"/>
          <w:rtl/>
        </w:rPr>
        <w:t xml:space="preserve">). </w:t>
      </w:r>
      <w:r>
        <w:rPr>
          <w:rFonts w:ascii="David" w:hAnsi="David" w:cs="David"/>
          <w:b/>
          <w:bCs/>
          <w:sz w:val="26"/>
          <w:szCs w:val="26"/>
          <w:rtl/>
          <w:lang w:bidi="he-IL"/>
        </w:rPr>
        <w:t>כחלק מחובת תום הלב בשלב זה</w:t>
      </w:r>
      <w:r>
        <w:rPr>
          <w:rFonts w:ascii="David" w:hAnsi="David" w:cs="Times New Roman"/>
          <w:b/>
          <w:bCs/>
          <w:sz w:val="26"/>
          <w:szCs w:val="26"/>
          <w:rtl/>
        </w:rPr>
        <w:t xml:space="preserve">, </w:t>
      </w:r>
      <w:r>
        <w:rPr>
          <w:rFonts w:ascii="David" w:hAnsi="David" w:cs="David"/>
          <w:b/>
          <w:bCs/>
          <w:sz w:val="26"/>
          <w:szCs w:val="26"/>
          <w:rtl/>
          <w:lang w:bidi="he-IL"/>
        </w:rPr>
        <w:t>נדרש החייב לעמוד במגבלות שהושתו עליו</w:t>
      </w:r>
      <w:r>
        <w:rPr>
          <w:rFonts w:ascii="David" w:hAnsi="David" w:cs="Times New Roman"/>
          <w:b/>
          <w:bCs/>
          <w:sz w:val="26"/>
          <w:szCs w:val="26"/>
          <w:rtl/>
        </w:rPr>
        <w:t xml:space="preserve">, </w:t>
      </w:r>
      <w:r>
        <w:rPr>
          <w:rFonts w:ascii="David" w:hAnsi="David" w:cs="David"/>
          <w:b/>
          <w:bCs/>
          <w:sz w:val="26"/>
          <w:szCs w:val="26"/>
          <w:rtl/>
          <w:lang w:bidi="he-IL"/>
        </w:rPr>
        <w:t xml:space="preserve">כמו גם לשלם את התשלומים החודשיים שהושתו עליו לקופת פשיטת הרגל </w:t>
      </w:r>
      <w:r>
        <w:rPr>
          <w:rFonts w:ascii="David" w:hAnsi="David" w:cs="Times New Roman"/>
          <w:b/>
          <w:bCs/>
          <w:sz w:val="26"/>
          <w:szCs w:val="26"/>
          <w:rtl/>
        </w:rPr>
        <w:t>(</w:t>
      </w:r>
      <w:r>
        <w:rPr>
          <w:rFonts w:ascii="David" w:hAnsi="David" w:cs="David"/>
          <w:b/>
          <w:bCs/>
          <w:sz w:val="26"/>
          <w:szCs w:val="26"/>
          <w:rtl/>
          <w:lang w:bidi="he-IL"/>
        </w:rPr>
        <w:t>ע</w:t>
      </w:r>
      <w:r>
        <w:rPr>
          <w:rFonts w:ascii="David" w:hAnsi="David" w:cs="Times New Roman"/>
          <w:b/>
          <w:bCs/>
          <w:sz w:val="26"/>
          <w:szCs w:val="26"/>
          <w:rtl/>
        </w:rPr>
        <w:t>"</w:t>
      </w:r>
      <w:r>
        <w:rPr>
          <w:rFonts w:ascii="David" w:hAnsi="David" w:cs="David"/>
          <w:b/>
          <w:bCs/>
          <w:sz w:val="26"/>
          <w:szCs w:val="26"/>
          <w:rtl/>
          <w:lang w:bidi="he-IL"/>
        </w:rPr>
        <w:t xml:space="preserve">א </w:t>
      </w:r>
      <w:r>
        <w:rPr>
          <w:rFonts w:ascii="David" w:hAnsi="David" w:cs="Times New Roman"/>
          <w:b/>
          <w:bCs/>
          <w:sz w:val="26"/>
          <w:szCs w:val="26"/>
          <w:rtl/>
        </w:rPr>
        <w:t xml:space="preserve">2063/07 </w:t>
      </w:r>
      <w:r>
        <w:rPr>
          <w:rFonts w:ascii="David" w:hAnsi="David" w:cs="David"/>
          <w:b/>
          <w:bCs/>
          <w:sz w:val="26"/>
          <w:szCs w:val="26"/>
          <w:rtl/>
          <w:lang w:bidi="he-IL"/>
        </w:rPr>
        <w:t>יצחקי נ</w:t>
      </w:r>
      <w:r>
        <w:rPr>
          <w:rFonts w:ascii="David" w:hAnsi="David" w:cs="Times New Roman"/>
          <w:b/>
          <w:bCs/>
          <w:sz w:val="26"/>
          <w:szCs w:val="26"/>
          <w:rtl/>
        </w:rPr>
        <w:t xml:space="preserve">' </w:t>
      </w:r>
      <w:r>
        <w:rPr>
          <w:rFonts w:ascii="David" w:hAnsi="David" w:cs="David"/>
          <w:b/>
          <w:bCs/>
          <w:sz w:val="26"/>
          <w:szCs w:val="26"/>
          <w:rtl/>
          <w:lang w:bidi="he-IL"/>
        </w:rPr>
        <w:t xml:space="preserve">הכונס הרשמי </w:t>
      </w:r>
      <w:r>
        <w:rPr>
          <w:rFonts w:ascii="David" w:hAnsi="David" w:cs="Times New Roman"/>
          <w:b/>
          <w:bCs/>
          <w:sz w:val="26"/>
          <w:szCs w:val="26"/>
          <w:rtl/>
        </w:rPr>
        <w:t>[</w:t>
      </w:r>
      <w:r>
        <w:rPr>
          <w:rFonts w:ascii="David" w:hAnsi="David" w:cs="David"/>
          <w:b/>
          <w:bCs/>
          <w:sz w:val="26"/>
          <w:szCs w:val="26"/>
          <w:rtl/>
          <w:lang w:bidi="he-IL"/>
        </w:rPr>
        <w:t>פורסם בנבו</w:t>
      </w:r>
      <w:r>
        <w:rPr>
          <w:rFonts w:ascii="David" w:hAnsi="David" w:cs="Times New Roman"/>
          <w:b/>
          <w:bCs/>
          <w:sz w:val="26"/>
          <w:szCs w:val="26"/>
          <w:rtl/>
        </w:rPr>
        <w:t xml:space="preserve">] (31.7.2008); </w:t>
      </w:r>
      <w:r>
        <w:rPr>
          <w:rFonts w:ascii="David" w:hAnsi="David" w:cs="David"/>
          <w:b/>
          <w:bCs/>
          <w:sz w:val="26"/>
          <w:szCs w:val="26"/>
          <w:rtl/>
          <w:lang w:bidi="he-IL"/>
        </w:rPr>
        <w:t>עניין גל</w:t>
      </w:r>
      <w:r>
        <w:rPr>
          <w:rFonts w:ascii="David" w:hAnsi="David" w:cs="Times New Roman"/>
          <w:b/>
          <w:bCs/>
          <w:sz w:val="26"/>
          <w:szCs w:val="26"/>
          <w:rtl/>
        </w:rPr>
        <w:t xml:space="preserve">, </w:t>
      </w:r>
      <w:r>
        <w:rPr>
          <w:rFonts w:ascii="David" w:hAnsi="David" w:cs="David"/>
          <w:b/>
          <w:bCs/>
          <w:sz w:val="26"/>
          <w:szCs w:val="26"/>
          <w:rtl/>
          <w:lang w:bidi="he-IL"/>
        </w:rPr>
        <w:t xml:space="preserve">פסקה </w:t>
      </w:r>
      <w:r>
        <w:rPr>
          <w:rFonts w:ascii="David" w:hAnsi="David" w:cs="Times New Roman"/>
          <w:b/>
          <w:bCs/>
          <w:sz w:val="26"/>
          <w:szCs w:val="26"/>
          <w:rtl/>
        </w:rPr>
        <w:t>11)</w:t>
      </w:r>
      <w:r>
        <w:rPr>
          <w:rFonts w:ascii="David" w:hAnsi="David" w:cs="David"/>
          <w:b/>
          <w:bCs/>
          <w:sz w:val="26"/>
          <w:szCs w:val="26"/>
          <w:lang w:bidi="he-IL"/>
        </w:rPr>
        <w:t>."</w:t>
      </w:r>
    </w:p>
    <w:p w:rsidR="0047782E" w:rsidRPr="0047782E" w:rsidRDefault="0047782E" w:rsidP="0047782E">
      <w:pPr>
        <w:pStyle w:val="af1"/>
        <w:bidi/>
        <w:spacing w:after="360" w:line="360" w:lineRule="auto"/>
        <w:ind w:left="869"/>
        <w:jc w:val="both"/>
        <w:rPr>
          <w:rFonts w:ascii="David" w:hAnsi="David" w:cs="David"/>
          <w:b/>
          <w:bCs/>
          <w:sz w:val="26"/>
          <w:szCs w:val="26"/>
          <w:lang w:bidi="he-IL"/>
        </w:rPr>
      </w:pPr>
    </w:p>
    <w:p w:rsidR="00880C14" w:rsidRDefault="00214F7B" w:rsidP="0047782E">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 xml:space="preserve">כאמור, בשלב זה רב הנסתר על הגלוי. לא ניתן לקבוע </w:t>
      </w:r>
      <w:r w:rsidR="00F9572C">
        <w:rPr>
          <w:rFonts w:ascii="David" w:hAnsi="David" w:cs="David" w:hint="cs"/>
          <w:sz w:val="26"/>
          <w:szCs w:val="26"/>
          <w:rtl/>
          <w:lang w:bidi="he-IL"/>
        </w:rPr>
        <w:t xml:space="preserve">ללא תשתית ראייתית שתוצג דבר על התנהלות </w:t>
      </w:r>
      <w:r>
        <w:rPr>
          <w:rFonts w:ascii="David" w:hAnsi="David" w:cs="David"/>
          <w:sz w:val="26"/>
          <w:szCs w:val="26"/>
          <w:rtl/>
          <w:lang w:bidi="he-IL"/>
        </w:rPr>
        <w:t xml:space="preserve">החייב במסגרת הליכי פשיטת הרגל ולא ניתן להגיע למסקנות בשלב הזה </w:t>
      </w:r>
      <w:r w:rsidR="00F9572C">
        <w:rPr>
          <w:rFonts w:ascii="David" w:hAnsi="David" w:cs="David" w:hint="cs"/>
          <w:sz w:val="26"/>
          <w:szCs w:val="26"/>
          <w:rtl/>
          <w:lang w:bidi="he-IL"/>
        </w:rPr>
        <w:t xml:space="preserve">בשאלה, האם החייב פעל בתום לב, או האם עבר עבירות בתקופה זו, כמיוחס לו על פי החשדות שנחקרים. </w:t>
      </w:r>
      <w:r>
        <w:rPr>
          <w:rFonts w:ascii="David" w:hAnsi="David" w:cs="David"/>
          <w:sz w:val="26"/>
          <w:szCs w:val="26"/>
          <w:rtl/>
          <w:lang w:bidi="he-IL"/>
        </w:rPr>
        <w:t>יש להמתין להכרעות הכנ"ר והפרקלי</w:t>
      </w:r>
      <w:r w:rsidR="00F46429">
        <w:rPr>
          <w:rFonts w:ascii="David" w:hAnsi="David" w:cs="David"/>
          <w:sz w:val="26"/>
          <w:szCs w:val="26"/>
          <w:rtl/>
          <w:lang w:bidi="he-IL"/>
        </w:rPr>
        <w:t>טות בנוגע להגשת כתב האישום</w:t>
      </w:r>
      <w:r w:rsidR="00F46429">
        <w:rPr>
          <w:rFonts w:ascii="David" w:hAnsi="David" w:cs="David" w:hint="cs"/>
          <w:sz w:val="26"/>
          <w:szCs w:val="26"/>
          <w:rtl/>
          <w:lang w:bidi="he-IL"/>
        </w:rPr>
        <w:t xml:space="preserve">. אם </w:t>
      </w:r>
      <w:r w:rsidR="00562C5D">
        <w:rPr>
          <w:rFonts w:ascii="David" w:hAnsi="David" w:cs="David" w:hint="cs"/>
          <w:sz w:val="26"/>
          <w:szCs w:val="26"/>
          <w:rtl/>
          <w:lang w:bidi="he-IL"/>
        </w:rPr>
        <w:t>יוחלט שלא להגיש כתב אישום, ניתן יהיה לחדש את הדיון בבקשת ההפטר. אם יוחלט להגיש כתב אישום, יועמד חומר החקירה המלא לעיו</w:t>
      </w:r>
      <w:r w:rsidR="00F46429">
        <w:rPr>
          <w:rFonts w:ascii="David" w:hAnsi="David" w:cs="David" w:hint="cs"/>
          <w:sz w:val="26"/>
          <w:szCs w:val="26"/>
          <w:rtl/>
          <w:lang w:bidi="he-IL"/>
        </w:rPr>
        <w:t>ן</w:t>
      </w:r>
      <w:r w:rsidR="0047782E">
        <w:rPr>
          <w:rFonts w:ascii="David" w:hAnsi="David" w:cs="David" w:hint="cs"/>
          <w:sz w:val="26"/>
          <w:szCs w:val="26"/>
          <w:rtl/>
          <w:lang w:bidi="he-IL"/>
        </w:rPr>
        <w:t xml:space="preserve"> החייב והוא יוכל להגיב לחשדות, </w:t>
      </w:r>
      <w:r w:rsidR="00F46429">
        <w:rPr>
          <w:rFonts w:ascii="David" w:hAnsi="David" w:cs="David" w:hint="cs"/>
          <w:sz w:val="26"/>
          <w:szCs w:val="26"/>
          <w:rtl/>
          <w:lang w:bidi="he-IL"/>
        </w:rPr>
        <w:t>דבר שאין בידו לעשות כעת</w:t>
      </w:r>
      <w:r w:rsidR="00013A97">
        <w:rPr>
          <w:rFonts w:ascii="David" w:hAnsi="David" w:cs="David" w:hint="cs"/>
          <w:sz w:val="26"/>
          <w:szCs w:val="26"/>
          <w:rtl/>
          <w:lang w:bidi="he-IL"/>
        </w:rPr>
        <w:t>, בטרם ייחשף לחומר החקירה. לדידי, לא יהיה צורך להמתין להכרעה באישום הפלילי (אם יוחלט להגישו) ובוודאי לא להכרעת ערכאת הערעור (אם יוגש). אם וכאשר יוגש כתב אישום וניתן יהיה לעיין בחומר החקירה ולשמוע את עמדת החייב, תהיה בפני בית המשפט תשתית ראייתית אשר תאפשר להכריע בטענה בדבר התנהלות עבריינית בהליך פשיטת הרגל, ובדבר חוסר תום לב בהתנהלות החייב בהליך, לצורך הכרעה בבקשת ההפטר.</w:t>
      </w:r>
    </w:p>
    <w:p w:rsidR="00880C14" w:rsidRDefault="00880C14" w:rsidP="00880C14">
      <w:pPr>
        <w:pStyle w:val="af1"/>
        <w:bidi/>
        <w:spacing w:after="360" w:line="360" w:lineRule="auto"/>
        <w:ind w:left="509"/>
        <w:jc w:val="both"/>
        <w:rPr>
          <w:rFonts w:ascii="David" w:hAnsi="David" w:cs="David"/>
          <w:sz w:val="26"/>
          <w:szCs w:val="26"/>
          <w:rtl/>
          <w:lang w:bidi="he-IL"/>
        </w:rPr>
      </w:pPr>
    </w:p>
    <w:p w:rsidR="00F46429" w:rsidRPr="00C12907" w:rsidRDefault="00880C14" w:rsidP="00880C14">
      <w:pPr>
        <w:pStyle w:val="af1"/>
        <w:bidi/>
        <w:spacing w:after="360" w:line="360" w:lineRule="auto"/>
        <w:ind w:left="509"/>
        <w:jc w:val="both"/>
        <w:rPr>
          <w:rFonts w:ascii="David" w:hAnsi="David" w:cs="David"/>
          <w:b/>
          <w:bCs/>
          <w:sz w:val="26"/>
          <w:szCs w:val="26"/>
          <w:rtl/>
          <w:lang w:bidi="he-IL"/>
        </w:rPr>
      </w:pPr>
      <w:r w:rsidRPr="0047782E">
        <w:rPr>
          <w:rFonts w:ascii="David" w:hAnsi="David" w:cs="David" w:hint="cs"/>
          <w:b/>
          <w:bCs/>
          <w:sz w:val="26"/>
          <w:szCs w:val="26"/>
          <w:u w:val="single"/>
          <w:rtl/>
          <w:lang w:bidi="he-IL"/>
        </w:rPr>
        <w:t>האם יש לדון במסגרת בקשת ההפטר בחובות שנוצרו במרמה</w:t>
      </w:r>
      <w:r w:rsidRPr="00C12907">
        <w:rPr>
          <w:rFonts w:ascii="David" w:hAnsi="David" w:cs="David" w:hint="cs"/>
          <w:b/>
          <w:bCs/>
          <w:sz w:val="26"/>
          <w:szCs w:val="26"/>
          <w:rtl/>
          <w:lang w:bidi="he-IL"/>
        </w:rPr>
        <w:t xml:space="preserve">?  </w:t>
      </w:r>
      <w:r w:rsidR="00013A97" w:rsidRPr="00C12907">
        <w:rPr>
          <w:rFonts w:ascii="David" w:hAnsi="David" w:cs="David" w:hint="cs"/>
          <w:b/>
          <w:bCs/>
          <w:sz w:val="26"/>
          <w:szCs w:val="26"/>
          <w:rtl/>
          <w:lang w:bidi="he-IL"/>
        </w:rPr>
        <w:t xml:space="preserve"> </w:t>
      </w:r>
    </w:p>
    <w:p w:rsidR="00214F7B"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כאמור לעיל, בשלב זה הוכרע כי אין מקום לדון בבקשת ההפטר. יחד עם זאת, מצאתי לנכון להכריע בבקשת החייב להכליל במסגרת בקשת ההפטר גם את חובותיו, שנקבע לגביהם במסגרת ע"ר 313/10 כי נוצרו בתרמית.</w:t>
      </w:r>
    </w:p>
    <w:p w:rsidR="00214F7B"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כפי שהובא לעיל בהרחבה, במסגרת ע"ר 313/10 קבע כב' השופט (בדימוס) י' צבן כי חובותיו של החייב נוצרו בתרמית ופסק דינו הפך חלוט.</w:t>
      </w:r>
    </w:p>
    <w:p w:rsidR="00214F7B" w:rsidRDefault="00214F7B" w:rsidP="00214F7B">
      <w:pPr>
        <w:pStyle w:val="af1"/>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 xml:space="preserve">לא נעלמה מעיני טענת החייב כי אחת ממטרות שבבסיס הליך פשיטת הרגל נועדה לאפשר לחייב לפתוח דף חדש. כמו כן, לא נעלמה מעיני העובדה שמדובר בחובות בגובה של 1.1 מיליארד שקלים (מתוך חוב של 1.8 מיליארד). </w:t>
      </w:r>
    </w:p>
    <w:p w:rsidR="00214F7B" w:rsidRDefault="00214F7B" w:rsidP="00214F7B">
      <w:pPr>
        <w:pStyle w:val="af1"/>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על אף האמור לעיל, המחוקק קבע, במסגרת סעיף 69(א) לפקודה כך:</w:t>
      </w:r>
    </w:p>
    <w:p w:rsidR="00214F7B" w:rsidRDefault="00214F7B" w:rsidP="00425A78">
      <w:pPr>
        <w:pStyle w:val="af1"/>
        <w:bidi/>
        <w:spacing w:after="360" w:line="360" w:lineRule="auto"/>
        <w:ind w:left="869" w:right="1134"/>
        <w:jc w:val="both"/>
        <w:rPr>
          <w:rFonts w:ascii="David" w:hAnsi="David" w:cs="David"/>
          <w:bCs/>
          <w:sz w:val="26"/>
          <w:szCs w:val="26"/>
          <w:rtl/>
          <w:lang w:bidi="he-IL"/>
        </w:rPr>
      </w:pPr>
      <w:r>
        <w:rPr>
          <w:rFonts w:ascii="David" w:hAnsi="David" w:cs="David"/>
          <w:bCs/>
          <w:sz w:val="26"/>
          <w:szCs w:val="26"/>
          <w:rtl/>
          <w:lang w:bidi="he-IL"/>
        </w:rPr>
        <w:t>"</w:t>
      </w:r>
      <w:r>
        <w:rPr>
          <w:rFonts w:ascii="David" w:hAnsi="David" w:cs="Times New Roman"/>
          <w:bCs/>
          <w:sz w:val="26"/>
          <w:szCs w:val="26"/>
          <w:rtl/>
        </w:rPr>
        <w:t>69.  (</w:t>
      </w:r>
      <w:r>
        <w:rPr>
          <w:rFonts w:ascii="David" w:hAnsi="David" w:cs="David"/>
          <w:bCs/>
          <w:sz w:val="26"/>
          <w:szCs w:val="26"/>
          <w:rtl/>
          <w:lang w:bidi="he-IL"/>
        </w:rPr>
        <w:t>א</w:t>
      </w:r>
      <w:r>
        <w:rPr>
          <w:rFonts w:ascii="David" w:hAnsi="David" w:cs="Times New Roman"/>
          <w:bCs/>
          <w:sz w:val="26"/>
          <w:szCs w:val="26"/>
          <w:rtl/>
        </w:rPr>
        <w:t xml:space="preserve">)  </w:t>
      </w:r>
      <w:r>
        <w:rPr>
          <w:rFonts w:ascii="David" w:hAnsi="David" w:cs="David"/>
          <w:bCs/>
          <w:sz w:val="26"/>
          <w:szCs w:val="26"/>
          <w:rtl/>
          <w:lang w:bidi="he-IL"/>
        </w:rPr>
        <w:t>צו ההפטר יפטור את פושט הרגל מכל חוב בר</w:t>
      </w:r>
      <w:r>
        <w:rPr>
          <w:rFonts w:ascii="David" w:hAnsi="David" w:cs="Times New Roman"/>
          <w:bCs/>
          <w:sz w:val="26"/>
          <w:szCs w:val="26"/>
          <w:rtl/>
        </w:rPr>
        <w:t>-</w:t>
      </w:r>
      <w:r>
        <w:rPr>
          <w:rFonts w:ascii="David" w:hAnsi="David" w:cs="David"/>
          <w:bCs/>
          <w:sz w:val="26"/>
          <w:szCs w:val="26"/>
          <w:rtl/>
          <w:lang w:bidi="he-IL"/>
        </w:rPr>
        <w:t>תביעה בפשיטת רגל</w:t>
      </w:r>
      <w:r>
        <w:rPr>
          <w:rFonts w:ascii="David" w:hAnsi="David" w:cs="Times New Roman"/>
          <w:bCs/>
          <w:sz w:val="26"/>
          <w:szCs w:val="26"/>
          <w:rtl/>
        </w:rPr>
        <w:t xml:space="preserve">, </w:t>
      </w:r>
      <w:r>
        <w:rPr>
          <w:rFonts w:ascii="David" w:hAnsi="David" w:cs="David"/>
          <w:bCs/>
          <w:sz w:val="26"/>
          <w:szCs w:val="26"/>
          <w:rtl/>
          <w:lang w:bidi="he-IL"/>
        </w:rPr>
        <w:t>חוץ מאלה</w:t>
      </w:r>
      <w:r>
        <w:rPr>
          <w:rFonts w:ascii="David" w:hAnsi="David" w:cs="Times New Roman"/>
          <w:bCs/>
          <w:sz w:val="26"/>
          <w:szCs w:val="26"/>
          <w:rtl/>
        </w:rPr>
        <w:t>:</w:t>
      </w:r>
    </w:p>
    <w:p w:rsidR="00214F7B" w:rsidRDefault="00214F7B" w:rsidP="00425A78">
      <w:pPr>
        <w:pStyle w:val="af1"/>
        <w:bidi/>
        <w:spacing w:after="360" w:line="360" w:lineRule="auto"/>
        <w:ind w:left="869" w:right="1134"/>
        <w:jc w:val="both"/>
        <w:rPr>
          <w:rFonts w:ascii="David" w:hAnsi="David" w:cs="David"/>
          <w:bCs/>
          <w:sz w:val="26"/>
          <w:szCs w:val="26"/>
        </w:rPr>
      </w:pPr>
      <w:r>
        <w:rPr>
          <w:rFonts w:ascii="David" w:hAnsi="David" w:cs="Times New Roman"/>
          <w:bCs/>
          <w:sz w:val="26"/>
          <w:szCs w:val="26"/>
          <w:rtl/>
        </w:rPr>
        <w:t xml:space="preserve">(1)   </w:t>
      </w:r>
      <w:r>
        <w:rPr>
          <w:rFonts w:ascii="David" w:hAnsi="David" w:cs="David"/>
          <w:bCs/>
          <w:sz w:val="26"/>
          <w:szCs w:val="26"/>
          <w:rtl/>
          <w:lang w:bidi="he-IL"/>
        </w:rPr>
        <w:t>חוב המגיע לפי התחייבות להימנע מעבירה או חוב המגיע למדינה בשל קנס</w:t>
      </w:r>
      <w:r>
        <w:rPr>
          <w:rFonts w:ascii="David" w:hAnsi="David" w:cs="Times New Roman"/>
          <w:bCs/>
          <w:sz w:val="26"/>
          <w:szCs w:val="26"/>
          <w:rtl/>
        </w:rPr>
        <w:t>;</w:t>
      </w:r>
    </w:p>
    <w:p w:rsidR="00214F7B" w:rsidRDefault="00214F7B" w:rsidP="00425A78">
      <w:pPr>
        <w:pStyle w:val="af1"/>
        <w:bidi/>
        <w:spacing w:after="360" w:line="360" w:lineRule="auto"/>
        <w:ind w:left="869" w:right="1134"/>
        <w:jc w:val="both"/>
        <w:rPr>
          <w:rFonts w:ascii="David" w:hAnsi="David" w:cs="David"/>
          <w:bCs/>
          <w:sz w:val="26"/>
          <w:szCs w:val="26"/>
          <w:rtl/>
        </w:rPr>
      </w:pPr>
      <w:r>
        <w:rPr>
          <w:rFonts w:ascii="David" w:hAnsi="David" w:cs="Times New Roman"/>
          <w:bCs/>
          <w:sz w:val="26"/>
          <w:szCs w:val="26"/>
          <w:rtl/>
        </w:rPr>
        <w:t xml:space="preserve">(2)   </w:t>
      </w:r>
      <w:r>
        <w:rPr>
          <w:rFonts w:ascii="David" w:hAnsi="David" w:cs="David"/>
          <w:bCs/>
          <w:sz w:val="26"/>
          <w:szCs w:val="26"/>
          <w:rtl/>
          <w:lang w:bidi="he-IL"/>
        </w:rPr>
        <w:t>חוב או חבות שנוצרו במרמה שפושט הרגל היה שותף לה או שהשיג ויתור עליהם במרמה כאמור</w:t>
      </w:r>
      <w:r>
        <w:rPr>
          <w:rFonts w:ascii="David" w:hAnsi="David" w:cs="Times New Roman"/>
          <w:bCs/>
          <w:sz w:val="26"/>
          <w:szCs w:val="26"/>
          <w:rtl/>
        </w:rPr>
        <w:t>;</w:t>
      </w:r>
    </w:p>
    <w:p w:rsidR="00214F7B" w:rsidRDefault="00214F7B" w:rsidP="00425A78">
      <w:pPr>
        <w:pStyle w:val="af1"/>
        <w:bidi/>
        <w:spacing w:after="360" w:line="360" w:lineRule="auto"/>
        <w:ind w:left="869" w:right="1134"/>
        <w:jc w:val="both"/>
        <w:rPr>
          <w:rFonts w:ascii="David" w:hAnsi="David" w:cs="David"/>
          <w:bCs/>
          <w:sz w:val="26"/>
          <w:szCs w:val="26"/>
          <w:rtl/>
          <w:lang w:bidi="he-IL"/>
        </w:rPr>
      </w:pPr>
      <w:r>
        <w:rPr>
          <w:rFonts w:ascii="David" w:hAnsi="David" w:cs="Times New Roman"/>
          <w:bCs/>
          <w:sz w:val="26"/>
          <w:szCs w:val="26"/>
          <w:rtl/>
        </w:rPr>
        <w:t xml:space="preserve">(3)   </w:t>
      </w:r>
      <w:r>
        <w:rPr>
          <w:rFonts w:ascii="David" w:hAnsi="David" w:cs="David"/>
          <w:bCs/>
          <w:sz w:val="26"/>
          <w:szCs w:val="26"/>
          <w:rtl/>
          <w:lang w:bidi="he-IL"/>
        </w:rPr>
        <w:t>חבות לפי פסק דין לחובתו בתובענת מזונות</w:t>
      </w:r>
      <w:r>
        <w:rPr>
          <w:rFonts w:ascii="David" w:hAnsi="David" w:cs="Times New Roman"/>
          <w:bCs/>
          <w:sz w:val="26"/>
          <w:szCs w:val="26"/>
          <w:rtl/>
        </w:rPr>
        <w:t xml:space="preserve">, </w:t>
      </w:r>
      <w:r>
        <w:rPr>
          <w:rFonts w:ascii="David" w:hAnsi="David" w:cs="David"/>
          <w:bCs/>
          <w:sz w:val="26"/>
          <w:szCs w:val="26"/>
          <w:rtl/>
          <w:lang w:bidi="he-IL"/>
        </w:rPr>
        <w:t>להוציא מה שהורה בית המשפט במפורש לגבי החבות</w:t>
      </w:r>
      <w:r>
        <w:rPr>
          <w:rFonts w:ascii="David" w:hAnsi="David" w:cs="Times New Roman"/>
          <w:bCs/>
          <w:sz w:val="26"/>
          <w:szCs w:val="26"/>
          <w:rtl/>
        </w:rPr>
        <w:t xml:space="preserve">, </w:t>
      </w:r>
      <w:r>
        <w:rPr>
          <w:rFonts w:ascii="David" w:hAnsi="David" w:cs="David"/>
          <w:bCs/>
          <w:sz w:val="26"/>
          <w:szCs w:val="26"/>
          <w:rtl/>
          <w:lang w:bidi="he-IL"/>
        </w:rPr>
        <w:t>במידה שהורה ובתנאים שהורה</w:t>
      </w:r>
      <w:r>
        <w:rPr>
          <w:rFonts w:ascii="David" w:hAnsi="David" w:cs="Times New Roman"/>
          <w:bCs/>
          <w:sz w:val="26"/>
          <w:szCs w:val="26"/>
          <w:rtl/>
        </w:rPr>
        <w:t>.</w:t>
      </w:r>
      <w:r>
        <w:rPr>
          <w:rFonts w:ascii="David" w:hAnsi="David" w:cs="David"/>
          <w:bCs/>
          <w:sz w:val="26"/>
          <w:szCs w:val="26"/>
          <w:rtl/>
          <w:lang w:bidi="he-IL"/>
        </w:rPr>
        <w:t>..".</w:t>
      </w:r>
    </w:p>
    <w:p w:rsidR="00214F7B" w:rsidRDefault="00214F7B" w:rsidP="00214F7B">
      <w:pPr>
        <w:pStyle w:val="af1"/>
        <w:bidi/>
        <w:spacing w:after="360" w:line="360" w:lineRule="auto"/>
        <w:ind w:left="869"/>
        <w:jc w:val="both"/>
        <w:rPr>
          <w:rFonts w:ascii="David" w:hAnsi="David" w:cs="David"/>
          <w:b/>
          <w:bCs/>
          <w:sz w:val="26"/>
          <w:szCs w:val="26"/>
          <w:rtl/>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rtl/>
          <w:lang w:bidi="he-IL"/>
        </w:rPr>
      </w:pPr>
      <w:r>
        <w:rPr>
          <w:rFonts w:ascii="David" w:hAnsi="David" w:cs="David"/>
          <w:sz w:val="26"/>
          <w:szCs w:val="26"/>
          <w:rtl/>
          <w:lang w:bidi="he-IL"/>
        </w:rPr>
        <w:t>לא ברורה טענת החייב כי בית המשפט רשאי לפטור את החייב מחובות שנקבע לגביהם כי נוצרו במרמה, כאשר המחוקק קבע כי אין מקום לעשות כן.</w:t>
      </w:r>
    </w:p>
    <w:p w:rsidR="00214F7B" w:rsidRDefault="00214F7B" w:rsidP="00214F7B">
      <w:pPr>
        <w:pStyle w:val="af1"/>
        <w:bidi/>
        <w:spacing w:after="360" w:line="360" w:lineRule="auto"/>
        <w:ind w:left="509"/>
        <w:jc w:val="both"/>
        <w:rPr>
          <w:rFonts w:ascii="David" w:hAnsi="David" w:cs="David"/>
          <w:sz w:val="26"/>
          <w:szCs w:val="26"/>
          <w:lang w:bidi="he-IL"/>
        </w:rPr>
      </w:pPr>
    </w:p>
    <w:p w:rsidR="00214F7B" w:rsidRDefault="00214F7B" w:rsidP="00214F7B">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 xml:space="preserve">יתרה מכך, בפסקי דין רבים (אליהם, בין היתר הפנה המנהל המיוחד) נקבע כי אין בסמכותו של בית המשפט לפטור חייב במסגרת מתן הפטר מחובות אלה. הדברים נכונים גם במקרים בהם חלפה תקופת זמן משמעותית. כך למשל נקבע בפש"ר (ת"א) 1113/07 </w:t>
      </w:r>
      <w:r>
        <w:rPr>
          <w:rFonts w:ascii="David" w:hAnsi="David" w:cs="David"/>
          <w:b/>
          <w:bCs/>
          <w:sz w:val="26"/>
          <w:szCs w:val="26"/>
          <w:rtl/>
          <w:lang w:bidi="he-IL"/>
        </w:rPr>
        <w:t>עופר מקסימוב נ' כונס הנכסים הרשמי</w:t>
      </w:r>
      <w:r>
        <w:rPr>
          <w:rFonts w:ascii="David" w:hAnsi="David" w:cs="David"/>
          <w:sz w:val="26"/>
          <w:szCs w:val="26"/>
          <w:rtl/>
          <w:lang w:bidi="he-IL"/>
        </w:rPr>
        <w:t xml:space="preserve"> (5.1.20): </w:t>
      </w:r>
    </w:p>
    <w:p w:rsidR="00214F7B" w:rsidRDefault="00214F7B" w:rsidP="00425A78">
      <w:pPr>
        <w:pStyle w:val="af1"/>
        <w:bidi/>
        <w:spacing w:after="360" w:line="360" w:lineRule="auto"/>
        <w:ind w:left="869" w:right="1134"/>
        <w:jc w:val="both"/>
        <w:rPr>
          <w:rFonts w:ascii="David" w:hAnsi="David" w:cs="David"/>
          <w:b/>
          <w:bCs/>
          <w:sz w:val="26"/>
          <w:szCs w:val="26"/>
          <w:rtl/>
        </w:rPr>
      </w:pPr>
      <w:r>
        <w:rPr>
          <w:rFonts w:ascii="David" w:hAnsi="David" w:cs="David"/>
          <w:b/>
          <w:bCs/>
          <w:sz w:val="26"/>
          <w:szCs w:val="26"/>
          <w:rtl/>
          <w:lang w:bidi="he-IL"/>
        </w:rPr>
        <w:t>"עם זאת אין מקום להתעלם מהוראת סעיף 69(א) לפקו</w:t>
      </w:r>
      <w:r w:rsidR="00B525A6">
        <w:rPr>
          <w:rFonts w:ascii="David" w:hAnsi="David" w:cs="David" w:hint="cs"/>
          <w:b/>
          <w:bCs/>
          <w:sz w:val="26"/>
          <w:szCs w:val="26"/>
          <w:rtl/>
          <w:lang w:bidi="he-IL"/>
        </w:rPr>
        <w:t>ד</w:t>
      </w:r>
      <w:r>
        <w:rPr>
          <w:rFonts w:ascii="David" w:hAnsi="David" w:cs="David"/>
          <w:b/>
          <w:bCs/>
          <w:sz w:val="26"/>
          <w:szCs w:val="26"/>
          <w:rtl/>
          <w:lang w:bidi="he-IL"/>
        </w:rPr>
        <w:t>ת פשיטת הרגל [נוסח חדש], התש"ם-1980, הקובעת כי צו הפטר יפטור את פושט הרגל מכל חוב בר תביעה זולת חוב שנוצר במרמה. על-כן חלוף הזמן כשלעצמו – ובמקרה דנן חלפו כאמור כ-18 שנה – אין בו די כדי להקנות לבית המשפט סמכות ליתן הפטר בגין חובות שנוצרו בדרכי תרמית בניגוד להוראתו המפורשת של המחוקק</w:t>
      </w:r>
      <w:r w:rsidR="00425A78">
        <w:rPr>
          <w:rFonts w:ascii="David" w:hAnsi="David" w:cs="David" w:hint="cs"/>
          <w:b/>
          <w:bCs/>
          <w:sz w:val="26"/>
          <w:szCs w:val="26"/>
          <w:rtl/>
          <w:lang w:bidi="he-IL"/>
        </w:rPr>
        <w:t>.</w:t>
      </w:r>
      <w:r w:rsidR="0047782E">
        <w:rPr>
          <w:rFonts w:ascii="David" w:hAnsi="David" w:cs="David" w:hint="cs"/>
          <w:b/>
          <w:bCs/>
          <w:sz w:val="26"/>
          <w:szCs w:val="26"/>
          <w:rtl/>
          <w:lang w:bidi="he-IL"/>
        </w:rPr>
        <w:t xml:space="preserve"> </w:t>
      </w:r>
      <w:r>
        <w:rPr>
          <w:rFonts w:ascii="David" w:hAnsi="David" w:cs="David"/>
          <w:b/>
          <w:bCs/>
          <w:sz w:val="26"/>
          <w:szCs w:val="26"/>
          <w:rtl/>
          <w:lang w:bidi="he-IL"/>
        </w:rPr>
        <w:t>עמד על כך בית המשפט בין השאר בע</w:t>
      </w:r>
      <w:r>
        <w:rPr>
          <w:rFonts w:ascii="David" w:hAnsi="David" w:cs="Times New Roman"/>
          <w:b/>
          <w:bCs/>
          <w:sz w:val="26"/>
          <w:szCs w:val="26"/>
          <w:rtl/>
        </w:rPr>
        <w:t>"</w:t>
      </w:r>
      <w:r>
        <w:rPr>
          <w:rFonts w:ascii="David" w:hAnsi="David" w:cs="David"/>
          <w:b/>
          <w:bCs/>
          <w:sz w:val="26"/>
          <w:szCs w:val="26"/>
          <w:rtl/>
          <w:lang w:bidi="he-IL"/>
        </w:rPr>
        <w:t xml:space="preserve">א </w:t>
      </w:r>
      <w:r>
        <w:rPr>
          <w:rFonts w:ascii="David" w:hAnsi="David" w:cs="Times New Roman"/>
          <w:b/>
          <w:bCs/>
          <w:sz w:val="26"/>
          <w:szCs w:val="26"/>
          <w:rtl/>
        </w:rPr>
        <w:t xml:space="preserve">5735/09 </w:t>
      </w:r>
      <w:r>
        <w:rPr>
          <w:rFonts w:ascii="David" w:hAnsi="David" w:cs="David"/>
          <w:b/>
          <w:bCs/>
          <w:sz w:val="26"/>
          <w:szCs w:val="26"/>
          <w:rtl/>
          <w:lang w:bidi="he-IL"/>
        </w:rPr>
        <w:t>עיריית טבריה נ</w:t>
      </w:r>
      <w:r>
        <w:rPr>
          <w:rFonts w:ascii="David" w:hAnsi="David" w:cs="Times New Roman"/>
          <w:b/>
          <w:bCs/>
          <w:sz w:val="26"/>
          <w:szCs w:val="26"/>
          <w:rtl/>
        </w:rPr>
        <w:t xml:space="preserve">' </w:t>
      </w:r>
      <w:r>
        <w:rPr>
          <w:rFonts w:ascii="David" w:hAnsi="David" w:cs="David"/>
          <w:b/>
          <w:bCs/>
          <w:sz w:val="26"/>
          <w:szCs w:val="26"/>
          <w:rtl/>
          <w:lang w:bidi="he-IL"/>
        </w:rPr>
        <w:t xml:space="preserve">סינואני </w:t>
      </w:r>
      <w:r>
        <w:rPr>
          <w:rFonts w:ascii="David" w:hAnsi="David" w:cs="Times New Roman"/>
          <w:b/>
          <w:bCs/>
          <w:sz w:val="26"/>
          <w:szCs w:val="26"/>
          <w:rtl/>
        </w:rPr>
        <w:t>(</w:t>
      </w:r>
      <w:r>
        <w:rPr>
          <w:rFonts w:ascii="David" w:hAnsi="David" w:cs="David"/>
          <w:b/>
          <w:bCs/>
          <w:sz w:val="26"/>
          <w:szCs w:val="26"/>
          <w:rtl/>
          <w:lang w:bidi="he-IL"/>
        </w:rPr>
        <w:t>פורסם במאגרים</w:t>
      </w:r>
      <w:r>
        <w:rPr>
          <w:rFonts w:ascii="David" w:hAnsi="David" w:cs="Times New Roman"/>
          <w:b/>
          <w:bCs/>
          <w:sz w:val="26"/>
          <w:szCs w:val="26"/>
          <w:rtl/>
        </w:rPr>
        <w:t>, [</w:t>
      </w:r>
      <w:r>
        <w:rPr>
          <w:rFonts w:ascii="David" w:hAnsi="David" w:cs="David"/>
          <w:b/>
          <w:bCs/>
          <w:sz w:val="26"/>
          <w:szCs w:val="26"/>
          <w:rtl/>
          <w:lang w:bidi="he-IL"/>
        </w:rPr>
        <w:t>פורסם בנבו</w:t>
      </w:r>
      <w:r>
        <w:rPr>
          <w:rFonts w:ascii="David" w:hAnsi="David" w:cs="Times New Roman"/>
          <w:b/>
          <w:bCs/>
          <w:sz w:val="26"/>
          <w:szCs w:val="26"/>
          <w:rtl/>
        </w:rPr>
        <w:t xml:space="preserve">], 17.04.2012), </w:t>
      </w:r>
      <w:r>
        <w:rPr>
          <w:rFonts w:ascii="David" w:hAnsi="David" w:cs="David"/>
          <w:b/>
          <w:bCs/>
          <w:sz w:val="26"/>
          <w:szCs w:val="26"/>
          <w:rtl/>
          <w:lang w:bidi="he-IL"/>
        </w:rPr>
        <w:t xml:space="preserve">בפסקה </w:t>
      </w:r>
      <w:r>
        <w:rPr>
          <w:rFonts w:ascii="David" w:hAnsi="David" w:cs="Times New Roman"/>
          <w:b/>
          <w:bCs/>
          <w:sz w:val="26"/>
          <w:szCs w:val="26"/>
          <w:rtl/>
        </w:rPr>
        <w:t xml:space="preserve">6 </w:t>
      </w:r>
      <w:r>
        <w:rPr>
          <w:rFonts w:ascii="David" w:hAnsi="David" w:cs="David"/>
          <w:b/>
          <w:bCs/>
          <w:sz w:val="26"/>
          <w:szCs w:val="26"/>
          <w:rtl/>
          <w:lang w:bidi="he-IL"/>
        </w:rPr>
        <w:t>לפסק</w:t>
      </w:r>
      <w:r>
        <w:rPr>
          <w:rFonts w:ascii="David" w:hAnsi="David" w:cs="Times New Roman"/>
          <w:b/>
          <w:bCs/>
          <w:sz w:val="26"/>
          <w:szCs w:val="26"/>
          <w:rtl/>
        </w:rPr>
        <w:t>-</w:t>
      </w:r>
      <w:r>
        <w:rPr>
          <w:rFonts w:ascii="David" w:hAnsi="David" w:cs="David"/>
          <w:b/>
          <w:bCs/>
          <w:sz w:val="26"/>
          <w:szCs w:val="26"/>
          <w:rtl/>
          <w:lang w:bidi="he-IL"/>
        </w:rPr>
        <w:t>דינו של כבוד הנשיא אשר גרוניס</w:t>
      </w:r>
      <w:r>
        <w:rPr>
          <w:rFonts w:ascii="David" w:hAnsi="David" w:cs="Times New Roman"/>
          <w:b/>
          <w:bCs/>
          <w:sz w:val="26"/>
          <w:szCs w:val="26"/>
          <w:rtl/>
        </w:rPr>
        <w:t xml:space="preserve">. </w:t>
      </w:r>
      <w:r>
        <w:rPr>
          <w:rFonts w:ascii="David" w:hAnsi="David" w:cs="David"/>
          <w:b/>
          <w:bCs/>
          <w:sz w:val="26"/>
          <w:szCs w:val="26"/>
          <w:rtl/>
          <w:lang w:bidi="he-IL"/>
        </w:rPr>
        <w:t>ראה גם רע</w:t>
      </w:r>
      <w:r>
        <w:rPr>
          <w:rFonts w:ascii="David" w:hAnsi="David" w:cs="Times New Roman"/>
          <w:b/>
          <w:bCs/>
          <w:sz w:val="26"/>
          <w:szCs w:val="26"/>
          <w:rtl/>
        </w:rPr>
        <w:t>"</w:t>
      </w:r>
      <w:r>
        <w:rPr>
          <w:rFonts w:ascii="David" w:hAnsi="David" w:cs="David"/>
          <w:b/>
          <w:bCs/>
          <w:sz w:val="26"/>
          <w:szCs w:val="26"/>
          <w:rtl/>
          <w:lang w:bidi="he-IL"/>
        </w:rPr>
        <w:t xml:space="preserve">א </w:t>
      </w:r>
      <w:r>
        <w:rPr>
          <w:rFonts w:ascii="David" w:hAnsi="David" w:cs="Times New Roman"/>
          <w:b/>
          <w:bCs/>
          <w:sz w:val="26"/>
          <w:szCs w:val="26"/>
          <w:rtl/>
        </w:rPr>
        <w:t xml:space="preserve">1685/14 </w:t>
      </w:r>
      <w:r>
        <w:rPr>
          <w:rFonts w:ascii="David" w:hAnsi="David" w:cs="David"/>
          <w:b/>
          <w:bCs/>
          <w:sz w:val="26"/>
          <w:szCs w:val="26"/>
          <w:rtl/>
          <w:lang w:bidi="he-IL"/>
        </w:rPr>
        <w:t>סדן נ</w:t>
      </w:r>
      <w:r>
        <w:rPr>
          <w:rFonts w:ascii="David" w:hAnsi="David" w:cs="Times New Roman"/>
          <w:b/>
          <w:bCs/>
          <w:sz w:val="26"/>
          <w:szCs w:val="26"/>
          <w:rtl/>
        </w:rPr>
        <w:t xml:space="preserve">' </w:t>
      </w:r>
      <w:r>
        <w:rPr>
          <w:rFonts w:ascii="David" w:hAnsi="David" w:cs="David"/>
          <w:b/>
          <w:bCs/>
          <w:sz w:val="26"/>
          <w:szCs w:val="26"/>
          <w:rtl/>
          <w:lang w:bidi="he-IL"/>
        </w:rPr>
        <w:t>פנינסולה נכסים בע</w:t>
      </w:r>
      <w:r>
        <w:rPr>
          <w:rFonts w:ascii="David" w:hAnsi="David" w:cs="Times New Roman"/>
          <w:b/>
          <w:bCs/>
          <w:sz w:val="26"/>
          <w:szCs w:val="26"/>
          <w:rtl/>
        </w:rPr>
        <w:t>"</w:t>
      </w:r>
      <w:r>
        <w:rPr>
          <w:rFonts w:ascii="David" w:hAnsi="David" w:cs="David"/>
          <w:b/>
          <w:bCs/>
          <w:sz w:val="26"/>
          <w:szCs w:val="26"/>
          <w:rtl/>
          <w:lang w:bidi="he-IL"/>
        </w:rPr>
        <w:t>מ</w:t>
      </w:r>
      <w:r>
        <w:rPr>
          <w:rFonts w:ascii="David" w:hAnsi="David" w:cs="Times New Roman"/>
          <w:b/>
          <w:bCs/>
          <w:sz w:val="26"/>
          <w:szCs w:val="26"/>
          <w:rtl/>
        </w:rPr>
        <w:t>, [</w:t>
      </w:r>
      <w:r>
        <w:rPr>
          <w:rFonts w:ascii="David" w:hAnsi="David" w:cs="David"/>
          <w:b/>
          <w:bCs/>
          <w:sz w:val="26"/>
          <w:szCs w:val="26"/>
          <w:rtl/>
          <w:lang w:bidi="he-IL"/>
        </w:rPr>
        <w:t>פורסם בנבו</w:t>
      </w:r>
      <w:r>
        <w:rPr>
          <w:rFonts w:ascii="David" w:hAnsi="David" w:cs="Times New Roman"/>
          <w:b/>
          <w:bCs/>
          <w:sz w:val="26"/>
          <w:szCs w:val="26"/>
          <w:rtl/>
        </w:rPr>
        <w:t xml:space="preserve">] </w:t>
      </w:r>
      <w:r>
        <w:rPr>
          <w:rFonts w:ascii="David" w:hAnsi="David" w:cs="David"/>
          <w:b/>
          <w:bCs/>
          <w:sz w:val="26"/>
          <w:szCs w:val="26"/>
          <w:rtl/>
          <w:lang w:bidi="he-IL"/>
        </w:rPr>
        <w:t>פסקה טז לפסק</w:t>
      </w:r>
      <w:r>
        <w:rPr>
          <w:rFonts w:ascii="David" w:hAnsi="David" w:cs="Times New Roman"/>
          <w:b/>
          <w:bCs/>
          <w:sz w:val="26"/>
          <w:szCs w:val="26"/>
          <w:rtl/>
        </w:rPr>
        <w:t>-</w:t>
      </w:r>
      <w:r>
        <w:rPr>
          <w:rFonts w:ascii="David" w:hAnsi="David" w:cs="David"/>
          <w:b/>
          <w:bCs/>
          <w:sz w:val="26"/>
          <w:szCs w:val="26"/>
          <w:rtl/>
          <w:lang w:bidi="he-IL"/>
        </w:rPr>
        <w:t xml:space="preserve">דינו של כבוד השופט אליקים רובינשטיין </w:t>
      </w:r>
      <w:r>
        <w:rPr>
          <w:rFonts w:ascii="David" w:hAnsi="David" w:cs="Times New Roman"/>
          <w:b/>
          <w:bCs/>
          <w:sz w:val="26"/>
          <w:szCs w:val="26"/>
          <w:rtl/>
        </w:rPr>
        <w:t>(</w:t>
      </w:r>
      <w:r>
        <w:rPr>
          <w:rFonts w:ascii="David" w:hAnsi="David" w:cs="David"/>
          <w:b/>
          <w:bCs/>
          <w:sz w:val="26"/>
          <w:szCs w:val="26"/>
          <w:rtl/>
          <w:lang w:bidi="he-IL"/>
        </w:rPr>
        <w:t xml:space="preserve">פורסם ביום </w:t>
      </w:r>
      <w:r>
        <w:rPr>
          <w:rFonts w:ascii="David" w:hAnsi="David" w:cs="Times New Roman"/>
          <w:b/>
          <w:bCs/>
          <w:sz w:val="26"/>
          <w:szCs w:val="26"/>
          <w:rtl/>
        </w:rPr>
        <w:t>20.01.2015): „</w:t>
      </w:r>
      <w:r>
        <w:rPr>
          <w:rFonts w:ascii="David" w:hAnsi="David" w:cs="David"/>
          <w:b/>
          <w:bCs/>
          <w:sz w:val="26"/>
          <w:szCs w:val="26"/>
          <w:rtl/>
          <w:lang w:bidi="he-IL"/>
        </w:rPr>
        <w:t xml:space="preserve">המחוקק ביקש שלא לאפשר לחוטא </w:t>
      </w:r>
      <w:r>
        <w:rPr>
          <w:rFonts w:ascii="David" w:hAnsi="David" w:cs="Times New Roman"/>
          <w:b/>
          <w:bCs/>
          <w:sz w:val="26"/>
          <w:szCs w:val="26"/>
          <w:rtl/>
        </w:rPr>
        <w:t xml:space="preserve">– </w:t>
      </w:r>
      <w:r>
        <w:rPr>
          <w:rFonts w:ascii="David" w:hAnsi="David" w:cs="David"/>
          <w:b/>
          <w:bCs/>
          <w:sz w:val="26"/>
          <w:szCs w:val="26"/>
          <w:rtl/>
          <w:lang w:bidi="he-IL"/>
        </w:rPr>
        <w:t>חייב שחובו נוצר במרמה</w:t>
      </w:r>
      <w:r>
        <w:rPr>
          <w:rFonts w:ascii="David" w:hAnsi="David" w:cs="Times New Roman"/>
          <w:b/>
          <w:bCs/>
          <w:sz w:val="26"/>
          <w:szCs w:val="26"/>
          <w:rtl/>
        </w:rPr>
        <w:t xml:space="preserve">, </w:t>
      </w:r>
      <w:r>
        <w:rPr>
          <w:rFonts w:ascii="David" w:hAnsi="David" w:cs="David"/>
          <w:b/>
          <w:bCs/>
          <w:sz w:val="26"/>
          <w:szCs w:val="26"/>
          <w:rtl/>
          <w:lang w:bidi="he-IL"/>
        </w:rPr>
        <w:t xml:space="preserve">לצאת נשכר </w:t>
      </w:r>
      <w:r>
        <w:rPr>
          <w:rFonts w:ascii="David" w:hAnsi="David" w:cs="Times New Roman"/>
          <w:b/>
          <w:bCs/>
          <w:sz w:val="26"/>
          <w:szCs w:val="26"/>
          <w:rtl/>
        </w:rPr>
        <w:t xml:space="preserve">[...]“. </w:t>
      </w:r>
      <w:r>
        <w:rPr>
          <w:rFonts w:ascii="David" w:hAnsi="David" w:cs="David"/>
          <w:b/>
          <w:bCs/>
          <w:sz w:val="26"/>
          <w:szCs w:val="26"/>
          <w:rtl/>
          <w:lang w:bidi="he-IL"/>
        </w:rPr>
        <w:t>יצוין כי המחוקק ערך הבחנה גם לגבי חובות שאין מקום ליתן בגינם הפטר</w:t>
      </w:r>
      <w:r>
        <w:rPr>
          <w:rFonts w:ascii="David" w:hAnsi="David" w:cs="Times New Roman"/>
          <w:b/>
          <w:bCs/>
          <w:sz w:val="26"/>
          <w:szCs w:val="26"/>
          <w:rtl/>
        </w:rPr>
        <w:t xml:space="preserve">, </w:t>
      </w:r>
      <w:r>
        <w:rPr>
          <w:rFonts w:ascii="David" w:hAnsi="David" w:cs="David"/>
          <w:b/>
          <w:bCs/>
          <w:sz w:val="26"/>
          <w:szCs w:val="26"/>
          <w:rtl/>
          <w:lang w:bidi="he-IL"/>
        </w:rPr>
        <w:t>בין חובות שלבית המשפט נתון למרות זאת שיקול דעת למתן הפטר</w:t>
      </w:r>
      <w:r>
        <w:rPr>
          <w:rFonts w:ascii="David" w:hAnsi="David" w:cs="Times New Roman"/>
          <w:b/>
          <w:bCs/>
          <w:sz w:val="26"/>
          <w:szCs w:val="26"/>
          <w:rtl/>
        </w:rPr>
        <w:t xml:space="preserve">, </w:t>
      </w:r>
      <w:r>
        <w:rPr>
          <w:rFonts w:ascii="David" w:hAnsi="David" w:cs="David"/>
          <w:b/>
          <w:bCs/>
          <w:sz w:val="26"/>
          <w:szCs w:val="26"/>
          <w:rtl/>
          <w:lang w:bidi="he-IL"/>
        </w:rPr>
        <w:t>כמו למשל חוב מזונות</w:t>
      </w:r>
      <w:r>
        <w:rPr>
          <w:rFonts w:ascii="David" w:hAnsi="David" w:cs="Times New Roman"/>
          <w:b/>
          <w:bCs/>
          <w:sz w:val="26"/>
          <w:szCs w:val="26"/>
          <w:rtl/>
        </w:rPr>
        <w:t xml:space="preserve">, </w:t>
      </w:r>
      <w:r>
        <w:rPr>
          <w:rFonts w:ascii="David" w:hAnsi="David" w:cs="David"/>
          <w:b/>
          <w:bCs/>
          <w:sz w:val="26"/>
          <w:szCs w:val="26"/>
          <w:rtl/>
          <w:lang w:bidi="he-IL"/>
        </w:rPr>
        <w:t>ובין חובות אחרים</w:t>
      </w:r>
      <w:r>
        <w:rPr>
          <w:rFonts w:ascii="David" w:hAnsi="David" w:cs="Times New Roman"/>
          <w:b/>
          <w:bCs/>
          <w:sz w:val="26"/>
          <w:szCs w:val="26"/>
          <w:rtl/>
        </w:rPr>
        <w:t xml:space="preserve">, </w:t>
      </w:r>
      <w:r>
        <w:rPr>
          <w:rFonts w:ascii="David" w:hAnsi="David" w:cs="David"/>
          <w:b/>
          <w:bCs/>
          <w:sz w:val="26"/>
          <w:szCs w:val="26"/>
          <w:rtl/>
          <w:lang w:bidi="he-IL"/>
        </w:rPr>
        <w:t>כגון חוב שנוצר בדרכי תרמית</w:t>
      </w:r>
      <w:r>
        <w:rPr>
          <w:rFonts w:ascii="David" w:hAnsi="David" w:cs="Times New Roman"/>
          <w:b/>
          <w:bCs/>
          <w:sz w:val="26"/>
          <w:szCs w:val="26"/>
          <w:rtl/>
        </w:rPr>
        <w:t xml:space="preserve">, </w:t>
      </w:r>
      <w:r>
        <w:rPr>
          <w:rFonts w:ascii="David" w:hAnsi="David" w:cs="David"/>
          <w:b/>
          <w:bCs/>
          <w:sz w:val="26"/>
          <w:szCs w:val="26"/>
          <w:rtl/>
          <w:lang w:bidi="he-IL"/>
        </w:rPr>
        <w:t>שלגביו לא נתון לבית המשפט שיקול דעת כאמור</w:t>
      </w:r>
      <w:r>
        <w:rPr>
          <w:rFonts w:ascii="David" w:hAnsi="David" w:cs="Times New Roman"/>
          <w:b/>
          <w:bCs/>
          <w:sz w:val="26"/>
          <w:szCs w:val="26"/>
          <w:rtl/>
        </w:rPr>
        <w:t xml:space="preserve">. </w:t>
      </w:r>
      <w:r>
        <w:rPr>
          <w:rFonts w:ascii="David" w:hAnsi="David" w:cs="David"/>
          <w:b/>
          <w:bCs/>
          <w:sz w:val="26"/>
          <w:szCs w:val="26"/>
          <w:rtl/>
          <w:lang w:bidi="he-IL"/>
        </w:rPr>
        <w:t>בעניין זה ראה ע</w:t>
      </w:r>
      <w:r>
        <w:rPr>
          <w:rFonts w:ascii="David" w:hAnsi="David" w:cs="Times New Roman"/>
          <w:b/>
          <w:bCs/>
          <w:sz w:val="26"/>
          <w:szCs w:val="26"/>
          <w:rtl/>
        </w:rPr>
        <w:t>"</w:t>
      </w:r>
      <w:r>
        <w:rPr>
          <w:rFonts w:ascii="David" w:hAnsi="David" w:cs="David"/>
          <w:b/>
          <w:bCs/>
          <w:sz w:val="26"/>
          <w:szCs w:val="26"/>
          <w:rtl/>
          <w:lang w:bidi="he-IL"/>
        </w:rPr>
        <w:t>א</w:t>
      </w:r>
      <w:r w:rsidR="00B525A6">
        <w:rPr>
          <w:rFonts w:ascii="David" w:hAnsi="David" w:cs="Times New Roman" w:hint="cs"/>
          <w:b/>
          <w:bCs/>
          <w:sz w:val="26"/>
          <w:szCs w:val="26"/>
          <w:rtl/>
          <w:lang w:bidi="he-IL"/>
        </w:rPr>
        <w:t xml:space="preserve"> 1003/09</w:t>
      </w:r>
      <w:r>
        <w:rPr>
          <w:rFonts w:ascii="David" w:hAnsi="David" w:cs="Times New Roman"/>
          <w:b/>
          <w:bCs/>
          <w:sz w:val="26"/>
          <w:szCs w:val="26"/>
          <w:rtl/>
        </w:rPr>
        <w:t xml:space="preserve"> </w:t>
      </w:r>
      <w:r>
        <w:rPr>
          <w:rFonts w:ascii="David" w:hAnsi="David" w:cs="David"/>
          <w:b/>
          <w:bCs/>
          <w:sz w:val="26"/>
          <w:szCs w:val="26"/>
          <w:rtl/>
          <w:lang w:bidi="he-IL"/>
        </w:rPr>
        <w:t>מקבילי נ</w:t>
      </w:r>
      <w:r>
        <w:rPr>
          <w:rFonts w:ascii="David" w:hAnsi="David" w:cs="Times New Roman"/>
          <w:b/>
          <w:bCs/>
          <w:sz w:val="26"/>
          <w:szCs w:val="26"/>
          <w:rtl/>
        </w:rPr>
        <w:t xml:space="preserve">' </w:t>
      </w:r>
      <w:r>
        <w:rPr>
          <w:rFonts w:ascii="David" w:hAnsi="David" w:cs="David"/>
          <w:b/>
          <w:bCs/>
          <w:sz w:val="26"/>
          <w:szCs w:val="26"/>
          <w:rtl/>
          <w:lang w:bidi="he-IL"/>
        </w:rPr>
        <w:t xml:space="preserve">כונס הנכסים הרשמי </w:t>
      </w:r>
      <w:r>
        <w:rPr>
          <w:rFonts w:ascii="David" w:hAnsi="David" w:cs="Times New Roman"/>
          <w:b/>
          <w:bCs/>
          <w:sz w:val="26"/>
          <w:szCs w:val="26"/>
          <w:rtl/>
        </w:rPr>
        <w:t>(</w:t>
      </w:r>
      <w:r>
        <w:rPr>
          <w:rFonts w:ascii="David" w:hAnsi="David" w:cs="David"/>
          <w:b/>
          <w:bCs/>
          <w:sz w:val="26"/>
          <w:szCs w:val="26"/>
          <w:rtl/>
          <w:lang w:bidi="he-IL"/>
        </w:rPr>
        <w:t>פורסם במאגרים</w:t>
      </w:r>
      <w:r>
        <w:rPr>
          <w:rFonts w:ascii="David" w:hAnsi="David" w:cs="Times New Roman"/>
          <w:b/>
          <w:bCs/>
          <w:sz w:val="26"/>
          <w:szCs w:val="26"/>
          <w:rtl/>
        </w:rPr>
        <w:t>, [</w:t>
      </w:r>
      <w:r>
        <w:rPr>
          <w:rFonts w:ascii="David" w:hAnsi="David" w:cs="David"/>
          <w:b/>
          <w:bCs/>
          <w:sz w:val="26"/>
          <w:szCs w:val="26"/>
          <w:rtl/>
          <w:lang w:bidi="he-IL"/>
        </w:rPr>
        <w:t>פורסם בנבו</w:t>
      </w:r>
      <w:r>
        <w:rPr>
          <w:rFonts w:ascii="David" w:hAnsi="David" w:cs="Times New Roman"/>
          <w:b/>
          <w:bCs/>
          <w:sz w:val="26"/>
          <w:szCs w:val="26"/>
          <w:rtl/>
        </w:rPr>
        <w:t>], 04.01.2010)</w:t>
      </w:r>
      <w:r>
        <w:rPr>
          <w:rFonts w:ascii="David" w:hAnsi="David" w:cs="David"/>
          <w:b/>
          <w:bCs/>
          <w:sz w:val="26"/>
          <w:szCs w:val="26"/>
        </w:rPr>
        <w:t>."</w:t>
      </w:r>
    </w:p>
    <w:p w:rsidR="00214F7B" w:rsidRDefault="00214F7B" w:rsidP="00214F7B">
      <w:pPr>
        <w:pStyle w:val="af1"/>
        <w:bidi/>
        <w:spacing w:after="360" w:line="360" w:lineRule="auto"/>
        <w:ind w:left="869"/>
        <w:jc w:val="both"/>
        <w:rPr>
          <w:rFonts w:ascii="David" w:hAnsi="David" w:cs="David"/>
          <w:b/>
          <w:bCs/>
          <w:sz w:val="26"/>
          <w:szCs w:val="26"/>
          <w:rtl/>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הדברים האמורים באו לידי ביטוי גם בפסיקתו של בית המשפט העליון מהעת האחרונה בע"א 4288/21 </w:t>
      </w:r>
      <w:r>
        <w:rPr>
          <w:rFonts w:ascii="David" w:hAnsi="David" w:cs="David"/>
          <w:bCs/>
          <w:sz w:val="26"/>
          <w:szCs w:val="26"/>
          <w:rtl/>
          <w:lang w:bidi="he-IL"/>
        </w:rPr>
        <w:t>יצחק כהן נ' סאלם סוהיל בתפקידו כמנהל מיוחד</w:t>
      </w:r>
      <w:r>
        <w:rPr>
          <w:rFonts w:ascii="David" w:hAnsi="David" w:cs="David"/>
          <w:sz w:val="26"/>
          <w:szCs w:val="26"/>
          <w:rtl/>
          <w:lang w:bidi="he-IL"/>
        </w:rPr>
        <w:t xml:space="preserve"> (27.6.21) אשר מתייחס במסגרת פסק דינו גם להסדר החקיקתי החדש (שאינו חל בעניינו) ועליו ניסה להסתמך החייב בבקשתו:</w:t>
      </w:r>
    </w:p>
    <w:p w:rsidR="00214F7B" w:rsidRDefault="00214F7B" w:rsidP="00425A78">
      <w:pPr>
        <w:pStyle w:val="af1"/>
        <w:bidi/>
        <w:spacing w:after="360" w:line="360" w:lineRule="auto"/>
        <w:ind w:left="869" w:right="1134"/>
        <w:jc w:val="both"/>
        <w:rPr>
          <w:rFonts w:ascii="David" w:hAnsi="David" w:cs="David"/>
          <w:b/>
          <w:bCs/>
          <w:sz w:val="26"/>
          <w:szCs w:val="26"/>
          <w:lang w:bidi="he-IL"/>
        </w:rPr>
      </w:pPr>
      <w:r>
        <w:rPr>
          <w:rFonts w:ascii="David" w:hAnsi="David" w:cs="Times New Roman"/>
          <w:b/>
          <w:bCs/>
          <w:sz w:val="26"/>
          <w:szCs w:val="26"/>
          <w:rtl/>
        </w:rPr>
        <w:t>"</w:t>
      </w:r>
      <w:r>
        <w:rPr>
          <w:rFonts w:ascii="David" w:hAnsi="David" w:cs="David"/>
          <w:b/>
          <w:bCs/>
          <w:sz w:val="26"/>
          <w:szCs w:val="26"/>
          <w:rtl/>
          <w:lang w:bidi="he-IL"/>
        </w:rPr>
        <w:t>9. המשותף לכל אותם חובות שצו הפטר איננו חל לגביהם הוא אופן יצירתם</w:t>
      </w:r>
      <w:r>
        <w:rPr>
          <w:rFonts w:ascii="David" w:hAnsi="David" w:cs="Times New Roman"/>
          <w:b/>
          <w:bCs/>
          <w:sz w:val="26"/>
          <w:szCs w:val="26"/>
          <w:rtl/>
        </w:rPr>
        <w:t xml:space="preserve">. </w:t>
      </w:r>
      <w:r>
        <w:rPr>
          <w:rFonts w:ascii="David" w:hAnsi="David" w:cs="David"/>
          <w:b/>
          <w:bCs/>
          <w:sz w:val="26"/>
          <w:szCs w:val="26"/>
          <w:rtl/>
          <w:lang w:bidi="he-IL"/>
        </w:rPr>
        <w:t xml:space="preserve">היינו חובות שמבחינה מוסרית וחברתית לא מוצדק שההפטר יחול עליהם </w:t>
      </w:r>
      <w:r>
        <w:rPr>
          <w:rFonts w:ascii="David" w:hAnsi="David" w:cs="Times New Roman"/>
          <w:b/>
          <w:bCs/>
          <w:sz w:val="26"/>
          <w:szCs w:val="26"/>
          <w:rtl/>
        </w:rPr>
        <w:t>(</w:t>
      </w:r>
      <w:r>
        <w:rPr>
          <w:rFonts w:ascii="David" w:hAnsi="David" w:cs="David"/>
          <w:b/>
          <w:bCs/>
          <w:sz w:val="26"/>
          <w:szCs w:val="26"/>
          <w:rtl/>
          <w:lang w:bidi="he-IL"/>
        </w:rPr>
        <w:t>ע</w:t>
      </w:r>
      <w:r>
        <w:rPr>
          <w:rFonts w:ascii="David" w:hAnsi="David" w:cs="Times New Roman"/>
          <w:b/>
          <w:bCs/>
          <w:sz w:val="26"/>
          <w:szCs w:val="26"/>
          <w:rtl/>
        </w:rPr>
        <w:t>"</w:t>
      </w:r>
      <w:r>
        <w:rPr>
          <w:rFonts w:ascii="David" w:hAnsi="David" w:cs="David"/>
          <w:b/>
          <w:bCs/>
          <w:sz w:val="26"/>
          <w:szCs w:val="26"/>
          <w:rtl/>
          <w:lang w:bidi="he-IL"/>
        </w:rPr>
        <w:t xml:space="preserve">א </w:t>
      </w:r>
      <w:r>
        <w:rPr>
          <w:rFonts w:ascii="David" w:hAnsi="David" w:cs="Times New Roman"/>
          <w:b/>
          <w:bCs/>
          <w:sz w:val="26"/>
          <w:szCs w:val="26"/>
          <w:rtl/>
        </w:rPr>
        <w:t xml:space="preserve">5735/09 </w:t>
      </w:r>
      <w:r>
        <w:rPr>
          <w:rFonts w:ascii="David" w:hAnsi="David" w:cs="David"/>
          <w:b/>
          <w:bCs/>
          <w:sz w:val="26"/>
          <w:szCs w:val="26"/>
          <w:rtl/>
          <w:lang w:bidi="he-IL"/>
        </w:rPr>
        <w:t>עיריית טבריה נ</w:t>
      </w:r>
      <w:r>
        <w:rPr>
          <w:rFonts w:ascii="David" w:hAnsi="David" w:cs="Times New Roman"/>
          <w:b/>
          <w:bCs/>
          <w:sz w:val="26"/>
          <w:szCs w:val="26"/>
          <w:rtl/>
        </w:rPr>
        <w:t xml:space="preserve">' </w:t>
      </w:r>
      <w:r>
        <w:rPr>
          <w:rFonts w:ascii="David" w:hAnsi="David" w:cs="David"/>
          <w:b/>
          <w:bCs/>
          <w:sz w:val="26"/>
          <w:szCs w:val="26"/>
          <w:rtl/>
          <w:lang w:bidi="he-IL"/>
        </w:rPr>
        <w:t>סינואני</w:t>
      </w:r>
      <w:r>
        <w:rPr>
          <w:rFonts w:ascii="David" w:hAnsi="David" w:cs="Times New Roman"/>
          <w:b/>
          <w:bCs/>
          <w:sz w:val="26"/>
          <w:szCs w:val="26"/>
          <w:rtl/>
        </w:rPr>
        <w:t>, [</w:t>
      </w:r>
      <w:r>
        <w:rPr>
          <w:rFonts w:ascii="David" w:hAnsi="David" w:cs="David"/>
          <w:b/>
          <w:bCs/>
          <w:sz w:val="26"/>
          <w:szCs w:val="26"/>
          <w:rtl/>
          <w:lang w:bidi="he-IL"/>
        </w:rPr>
        <w:t>פורסם בנבו</w:t>
      </w:r>
      <w:r>
        <w:rPr>
          <w:rFonts w:ascii="David" w:hAnsi="David" w:cs="Times New Roman"/>
          <w:b/>
          <w:bCs/>
          <w:sz w:val="26"/>
          <w:szCs w:val="26"/>
          <w:rtl/>
        </w:rPr>
        <w:t xml:space="preserve">] </w:t>
      </w:r>
      <w:r>
        <w:rPr>
          <w:rFonts w:ascii="David" w:hAnsi="David" w:cs="David"/>
          <w:b/>
          <w:bCs/>
          <w:sz w:val="26"/>
          <w:szCs w:val="26"/>
          <w:rtl/>
          <w:lang w:bidi="he-IL"/>
        </w:rPr>
        <w:t xml:space="preserve">פסקה </w:t>
      </w:r>
      <w:r>
        <w:rPr>
          <w:rFonts w:ascii="David" w:hAnsi="David" w:cs="Times New Roman"/>
          <w:b/>
          <w:bCs/>
          <w:sz w:val="26"/>
          <w:szCs w:val="26"/>
          <w:rtl/>
        </w:rPr>
        <w:t>6</w:t>
      </w:r>
      <w:r>
        <w:rPr>
          <w:rFonts w:ascii="David" w:hAnsi="David" w:cs="David"/>
          <w:b/>
          <w:bCs/>
          <w:sz w:val="26"/>
          <w:szCs w:val="26"/>
          <w:rtl/>
          <w:lang w:bidi="he-IL"/>
        </w:rPr>
        <w:t xml:space="preserve"> </w:t>
      </w:r>
      <w:r>
        <w:rPr>
          <w:rFonts w:ascii="David" w:hAnsi="David" w:cs="David"/>
          <w:b/>
          <w:bCs/>
          <w:sz w:val="26"/>
          <w:szCs w:val="26"/>
        </w:rPr>
        <w:t>(17.4.2012)</w:t>
      </w:r>
      <w:r>
        <w:rPr>
          <w:rFonts w:ascii="David" w:hAnsi="David" w:cs="Times New Roman"/>
          <w:b/>
          <w:bCs/>
          <w:sz w:val="26"/>
          <w:szCs w:val="26"/>
          <w:rtl/>
        </w:rPr>
        <w:t xml:space="preserve">). </w:t>
      </w:r>
      <w:r>
        <w:rPr>
          <w:rFonts w:ascii="David" w:hAnsi="David" w:cs="David"/>
          <w:b/>
          <w:bCs/>
          <w:sz w:val="26"/>
          <w:szCs w:val="26"/>
          <w:rtl/>
          <w:lang w:bidi="he-IL"/>
        </w:rPr>
        <w:t xml:space="preserve">שיקולים אלו שבגינם ראוי שלא להכלילם בצו ההפטר קשורים בכלל שלפיו </w:t>
      </w:r>
      <w:r>
        <w:rPr>
          <w:rFonts w:ascii="David" w:hAnsi="David" w:cs="Times New Roman"/>
          <w:b/>
          <w:bCs/>
          <w:sz w:val="26"/>
          <w:szCs w:val="26"/>
          <w:rtl/>
        </w:rPr>
        <w:t>"</w:t>
      </w:r>
      <w:r>
        <w:rPr>
          <w:rFonts w:ascii="David" w:hAnsi="David" w:cs="David"/>
          <w:b/>
          <w:bCs/>
          <w:sz w:val="26"/>
          <w:szCs w:val="26"/>
          <w:rtl/>
          <w:lang w:bidi="he-IL"/>
        </w:rPr>
        <w:t>לֹּא יְהֵא חוֹטֵא נִשְׂכָּר</w:t>
      </w:r>
      <w:r>
        <w:rPr>
          <w:rFonts w:ascii="David" w:hAnsi="David" w:cs="Times New Roman"/>
          <w:b/>
          <w:bCs/>
          <w:sz w:val="26"/>
          <w:szCs w:val="26"/>
          <w:rtl/>
        </w:rPr>
        <w:t>" (</w:t>
      </w:r>
      <w:r>
        <w:rPr>
          <w:rFonts w:ascii="David" w:hAnsi="David" w:cs="David"/>
          <w:b/>
          <w:bCs/>
          <w:sz w:val="26"/>
          <w:szCs w:val="26"/>
          <w:rtl/>
          <w:lang w:bidi="he-IL"/>
        </w:rPr>
        <w:t>חלה</w:t>
      </w:r>
      <w:r>
        <w:rPr>
          <w:rFonts w:ascii="David" w:hAnsi="David" w:cs="Times New Roman"/>
          <w:b/>
          <w:bCs/>
          <w:sz w:val="26"/>
          <w:szCs w:val="26"/>
          <w:rtl/>
        </w:rPr>
        <w:t xml:space="preserve">, </w:t>
      </w:r>
      <w:r>
        <w:rPr>
          <w:rFonts w:ascii="David" w:hAnsi="David" w:cs="David"/>
          <w:b/>
          <w:bCs/>
          <w:sz w:val="26"/>
          <w:szCs w:val="26"/>
          <w:rtl/>
          <w:lang w:bidi="he-IL"/>
        </w:rPr>
        <w:t>ב</w:t>
      </w:r>
      <w:r>
        <w:rPr>
          <w:rFonts w:ascii="David" w:hAnsi="David" w:cs="Times New Roman"/>
          <w:b/>
          <w:bCs/>
          <w:sz w:val="26"/>
          <w:szCs w:val="26"/>
          <w:rtl/>
        </w:rPr>
        <w:t xml:space="preserve">, </w:t>
      </w:r>
      <w:r>
        <w:rPr>
          <w:rFonts w:ascii="David" w:hAnsi="David" w:cs="David"/>
          <w:b/>
          <w:bCs/>
          <w:sz w:val="26"/>
          <w:szCs w:val="26"/>
          <w:rtl/>
          <w:lang w:bidi="he-IL"/>
        </w:rPr>
        <w:t>ז</w:t>
      </w:r>
      <w:r>
        <w:rPr>
          <w:rFonts w:ascii="David" w:hAnsi="David" w:cs="Times New Roman"/>
          <w:b/>
          <w:bCs/>
          <w:sz w:val="26"/>
          <w:szCs w:val="26"/>
          <w:rtl/>
        </w:rPr>
        <w:t xml:space="preserve">; </w:t>
      </w:r>
      <w:r>
        <w:rPr>
          <w:rFonts w:ascii="David" w:hAnsi="David" w:cs="David"/>
          <w:b/>
          <w:bCs/>
          <w:sz w:val="26"/>
          <w:szCs w:val="26"/>
          <w:rtl/>
          <w:lang w:bidi="he-IL"/>
        </w:rPr>
        <w:t>ע</w:t>
      </w:r>
      <w:r>
        <w:rPr>
          <w:rFonts w:ascii="David" w:hAnsi="David" w:cs="Times New Roman"/>
          <w:b/>
          <w:bCs/>
          <w:sz w:val="26"/>
          <w:szCs w:val="26"/>
          <w:rtl/>
        </w:rPr>
        <w:t>"</w:t>
      </w:r>
      <w:r>
        <w:rPr>
          <w:rFonts w:ascii="David" w:hAnsi="David" w:cs="David"/>
          <w:b/>
          <w:bCs/>
          <w:sz w:val="26"/>
          <w:szCs w:val="26"/>
          <w:rtl/>
          <w:lang w:bidi="he-IL"/>
        </w:rPr>
        <w:t xml:space="preserve">א </w:t>
      </w:r>
      <w:r>
        <w:rPr>
          <w:rFonts w:ascii="David" w:hAnsi="David" w:cs="Times New Roman"/>
          <w:b/>
          <w:bCs/>
          <w:sz w:val="26"/>
          <w:szCs w:val="26"/>
          <w:rtl/>
        </w:rPr>
        <w:t xml:space="preserve">3083/13 </w:t>
      </w:r>
      <w:r>
        <w:rPr>
          <w:rFonts w:ascii="David" w:hAnsi="David" w:cs="David"/>
          <w:b/>
          <w:bCs/>
          <w:sz w:val="26"/>
          <w:szCs w:val="26"/>
          <w:rtl/>
          <w:lang w:bidi="he-IL"/>
        </w:rPr>
        <w:t>פלונית נ</w:t>
      </w:r>
      <w:r>
        <w:rPr>
          <w:rFonts w:ascii="David" w:hAnsi="David" w:cs="Times New Roman"/>
          <w:b/>
          <w:bCs/>
          <w:sz w:val="26"/>
          <w:szCs w:val="26"/>
          <w:rtl/>
        </w:rPr>
        <w:t xml:space="preserve">' </w:t>
      </w:r>
      <w:r>
        <w:rPr>
          <w:rFonts w:ascii="David" w:hAnsi="David" w:cs="David"/>
          <w:b/>
          <w:bCs/>
          <w:sz w:val="26"/>
          <w:szCs w:val="26"/>
          <w:rtl/>
          <w:lang w:bidi="he-IL"/>
        </w:rPr>
        <w:t>שיכמן</w:t>
      </w:r>
      <w:r>
        <w:rPr>
          <w:rFonts w:ascii="David" w:hAnsi="David" w:cs="Times New Roman"/>
          <w:b/>
          <w:bCs/>
          <w:sz w:val="26"/>
          <w:szCs w:val="26"/>
          <w:rtl/>
        </w:rPr>
        <w:t>, [</w:t>
      </w:r>
      <w:r>
        <w:rPr>
          <w:rFonts w:ascii="David" w:hAnsi="David" w:cs="David"/>
          <w:b/>
          <w:bCs/>
          <w:sz w:val="26"/>
          <w:szCs w:val="26"/>
          <w:rtl/>
          <w:lang w:bidi="he-IL"/>
        </w:rPr>
        <w:t>פורסם בנבו</w:t>
      </w:r>
      <w:r>
        <w:rPr>
          <w:rFonts w:ascii="David" w:hAnsi="David" w:cs="Times New Roman"/>
          <w:b/>
          <w:bCs/>
          <w:sz w:val="26"/>
          <w:szCs w:val="26"/>
          <w:rtl/>
        </w:rPr>
        <w:t xml:space="preserve">] </w:t>
      </w:r>
      <w:r>
        <w:rPr>
          <w:rFonts w:ascii="David" w:hAnsi="David" w:cs="David"/>
          <w:b/>
          <w:bCs/>
          <w:sz w:val="26"/>
          <w:szCs w:val="26"/>
          <w:rtl/>
          <w:lang w:bidi="he-IL"/>
        </w:rPr>
        <w:t xml:space="preserve">פסקה </w:t>
      </w:r>
      <w:r>
        <w:rPr>
          <w:rFonts w:ascii="David" w:hAnsi="David" w:cs="Times New Roman"/>
          <w:b/>
          <w:bCs/>
          <w:sz w:val="26"/>
          <w:szCs w:val="26"/>
          <w:rtl/>
        </w:rPr>
        <w:t xml:space="preserve">21 (11.1.2015); </w:t>
      </w:r>
      <w:r>
        <w:rPr>
          <w:rFonts w:ascii="David" w:hAnsi="David" w:cs="David"/>
          <w:b/>
          <w:bCs/>
          <w:sz w:val="26"/>
          <w:szCs w:val="26"/>
          <w:rtl/>
          <w:lang w:bidi="he-IL"/>
        </w:rPr>
        <w:t>להרחבה ראו גם</w:t>
      </w:r>
      <w:r>
        <w:rPr>
          <w:rFonts w:ascii="David" w:hAnsi="David" w:cs="Times New Roman"/>
          <w:b/>
          <w:bCs/>
          <w:sz w:val="26"/>
          <w:szCs w:val="26"/>
          <w:rtl/>
        </w:rPr>
        <w:t xml:space="preserve">: </w:t>
      </w:r>
      <w:r>
        <w:rPr>
          <w:rFonts w:ascii="David" w:hAnsi="David" w:cs="David"/>
          <w:b/>
          <w:bCs/>
          <w:sz w:val="26"/>
          <w:szCs w:val="26"/>
          <w:rtl/>
          <w:lang w:bidi="he-IL"/>
        </w:rPr>
        <w:t xml:space="preserve">דברי ההסבר לסעיף </w:t>
      </w:r>
      <w:r>
        <w:rPr>
          <w:rFonts w:ascii="David" w:hAnsi="David" w:cs="Times New Roman"/>
          <w:b/>
          <w:bCs/>
          <w:sz w:val="26"/>
          <w:szCs w:val="26"/>
          <w:rtl/>
        </w:rPr>
        <w:t xml:space="preserve">175 </w:t>
      </w:r>
      <w:r>
        <w:rPr>
          <w:rFonts w:ascii="David" w:hAnsi="David" w:cs="David"/>
          <w:b/>
          <w:bCs/>
          <w:sz w:val="26"/>
          <w:szCs w:val="26"/>
          <w:rtl/>
          <w:lang w:bidi="he-IL"/>
        </w:rPr>
        <w:t>להצעת חוק חדלות פירעון ושיקום כלכלי</w:t>
      </w:r>
      <w:r>
        <w:rPr>
          <w:rFonts w:ascii="David" w:hAnsi="David" w:cs="Times New Roman"/>
          <w:b/>
          <w:bCs/>
          <w:sz w:val="26"/>
          <w:szCs w:val="26"/>
          <w:rtl/>
        </w:rPr>
        <w:t xml:space="preserve">, </w:t>
      </w:r>
      <w:r>
        <w:rPr>
          <w:rFonts w:ascii="David" w:hAnsi="David" w:cs="David"/>
          <w:b/>
          <w:bCs/>
          <w:sz w:val="26"/>
          <w:szCs w:val="26"/>
          <w:rtl/>
          <w:lang w:bidi="he-IL"/>
        </w:rPr>
        <w:t>התשע</w:t>
      </w:r>
      <w:r>
        <w:rPr>
          <w:rFonts w:ascii="David" w:hAnsi="David" w:cs="Times New Roman"/>
          <w:b/>
          <w:bCs/>
          <w:sz w:val="26"/>
          <w:szCs w:val="26"/>
          <w:rtl/>
        </w:rPr>
        <w:t>"</w:t>
      </w:r>
      <w:r>
        <w:rPr>
          <w:rFonts w:ascii="David" w:hAnsi="David" w:cs="David"/>
          <w:b/>
          <w:bCs/>
          <w:sz w:val="26"/>
          <w:szCs w:val="26"/>
          <w:rtl/>
          <w:lang w:bidi="he-IL"/>
        </w:rPr>
        <w:t>ו</w:t>
      </w:r>
      <w:r>
        <w:rPr>
          <w:rFonts w:ascii="David" w:hAnsi="David" w:cs="Times New Roman"/>
          <w:b/>
          <w:bCs/>
          <w:sz w:val="26"/>
          <w:szCs w:val="26"/>
          <w:rtl/>
        </w:rPr>
        <w:t xml:space="preserve">-2016, </w:t>
      </w:r>
      <w:r>
        <w:rPr>
          <w:rFonts w:ascii="David" w:hAnsi="David" w:cs="David"/>
          <w:b/>
          <w:bCs/>
          <w:sz w:val="26"/>
          <w:szCs w:val="26"/>
          <w:rtl/>
          <w:lang w:bidi="he-IL"/>
        </w:rPr>
        <w:t>ה</w:t>
      </w:r>
      <w:r>
        <w:rPr>
          <w:rFonts w:ascii="David" w:hAnsi="David" w:cs="Times New Roman"/>
          <w:b/>
          <w:bCs/>
          <w:sz w:val="26"/>
          <w:szCs w:val="26"/>
          <w:rtl/>
        </w:rPr>
        <w:t>"</w:t>
      </w:r>
      <w:r>
        <w:rPr>
          <w:rFonts w:ascii="David" w:hAnsi="David" w:cs="David"/>
          <w:b/>
          <w:bCs/>
          <w:sz w:val="26"/>
          <w:szCs w:val="26"/>
          <w:rtl/>
          <w:lang w:bidi="he-IL"/>
        </w:rPr>
        <w:t xml:space="preserve">ח </w:t>
      </w:r>
      <w:r>
        <w:rPr>
          <w:rFonts w:ascii="David" w:hAnsi="David" w:cs="Times New Roman"/>
          <w:b/>
          <w:bCs/>
          <w:sz w:val="26"/>
          <w:szCs w:val="26"/>
          <w:rtl/>
        </w:rPr>
        <w:t>1027, 692 (</w:t>
      </w:r>
      <w:r>
        <w:rPr>
          <w:rFonts w:ascii="David" w:hAnsi="David" w:cs="David"/>
          <w:b/>
          <w:bCs/>
          <w:sz w:val="26"/>
          <w:szCs w:val="26"/>
          <w:rtl/>
          <w:lang w:bidi="he-IL"/>
        </w:rPr>
        <w:t>להלן</w:t>
      </w:r>
      <w:r>
        <w:rPr>
          <w:rFonts w:ascii="David" w:hAnsi="David" w:cs="Times New Roman"/>
          <w:b/>
          <w:bCs/>
          <w:sz w:val="26"/>
          <w:szCs w:val="26"/>
          <w:rtl/>
        </w:rPr>
        <w:t xml:space="preserve">: </w:t>
      </w:r>
      <w:r>
        <w:rPr>
          <w:rFonts w:ascii="David" w:hAnsi="David" w:cs="David"/>
          <w:b/>
          <w:bCs/>
          <w:sz w:val="26"/>
          <w:szCs w:val="26"/>
          <w:rtl/>
          <w:lang w:bidi="he-IL"/>
        </w:rPr>
        <w:t>דברי ההסבר לחוק</w:t>
      </w:r>
      <w:r>
        <w:rPr>
          <w:rFonts w:ascii="David" w:hAnsi="David" w:cs="Times New Roman"/>
          <w:b/>
          <w:bCs/>
          <w:sz w:val="26"/>
          <w:szCs w:val="26"/>
          <w:rtl/>
        </w:rPr>
        <w:t xml:space="preserve">)). </w:t>
      </w:r>
      <w:r>
        <w:rPr>
          <w:rFonts w:ascii="David" w:hAnsi="David" w:cs="David"/>
          <w:b/>
          <w:bCs/>
          <w:sz w:val="26"/>
          <w:szCs w:val="26"/>
          <w:rtl/>
          <w:lang w:bidi="he-IL"/>
        </w:rPr>
        <w:t>אין זה ראוי אפוא שחייב יזכה לפטור מחיוב שצמח לו כתוצאה מפעילות מרמה שבה היה מעורב</w:t>
      </w:r>
      <w:r>
        <w:rPr>
          <w:rFonts w:ascii="David" w:hAnsi="David" w:cs="Times New Roman"/>
          <w:b/>
          <w:bCs/>
          <w:sz w:val="26"/>
          <w:szCs w:val="26"/>
          <w:rtl/>
        </w:rPr>
        <w:t xml:space="preserve">, </w:t>
      </w:r>
      <w:r>
        <w:rPr>
          <w:rFonts w:ascii="David" w:hAnsi="David" w:cs="David"/>
          <w:b/>
          <w:bCs/>
          <w:sz w:val="26"/>
          <w:szCs w:val="26"/>
          <w:rtl/>
          <w:lang w:bidi="he-IL"/>
        </w:rPr>
        <w:t>או מחיוב שממנו הוא ניסה להתחמק באמצעות מרמה</w:t>
      </w:r>
      <w:r>
        <w:rPr>
          <w:rFonts w:ascii="David" w:hAnsi="David" w:cs="Times New Roman"/>
          <w:b/>
          <w:bCs/>
          <w:sz w:val="26"/>
          <w:szCs w:val="26"/>
          <w:rtl/>
        </w:rPr>
        <w:t xml:space="preserve">. </w:t>
      </w:r>
      <w:r>
        <w:rPr>
          <w:rFonts w:ascii="David" w:hAnsi="David" w:cs="David"/>
          <w:b/>
          <w:bCs/>
          <w:sz w:val="26"/>
          <w:szCs w:val="26"/>
          <w:rtl/>
          <w:lang w:bidi="he-IL"/>
        </w:rPr>
        <w:t xml:space="preserve">בפסיקה אף הובעה דעה </w:t>
      </w:r>
      <w:r>
        <w:rPr>
          <w:rFonts w:ascii="David" w:hAnsi="David" w:cs="Times New Roman"/>
          <w:b/>
          <w:bCs/>
          <w:sz w:val="26"/>
          <w:szCs w:val="26"/>
          <w:rtl/>
        </w:rPr>
        <w:t xml:space="preserve">– </w:t>
      </w:r>
      <w:r>
        <w:rPr>
          <w:rFonts w:ascii="David" w:hAnsi="David" w:cs="David"/>
          <w:b/>
          <w:bCs/>
          <w:sz w:val="26"/>
          <w:szCs w:val="26"/>
          <w:rtl/>
          <w:lang w:bidi="he-IL"/>
        </w:rPr>
        <w:t xml:space="preserve">שהגיונה בצידה </w:t>
      </w:r>
      <w:r>
        <w:rPr>
          <w:rFonts w:ascii="David" w:hAnsi="David" w:cs="Times New Roman"/>
          <w:b/>
          <w:bCs/>
          <w:sz w:val="26"/>
          <w:szCs w:val="26"/>
          <w:rtl/>
        </w:rPr>
        <w:t xml:space="preserve">– </w:t>
      </w:r>
      <w:r>
        <w:rPr>
          <w:rFonts w:ascii="David" w:hAnsi="David" w:cs="David"/>
          <w:b/>
          <w:bCs/>
          <w:sz w:val="26"/>
          <w:szCs w:val="26"/>
          <w:rtl/>
          <w:lang w:bidi="he-IL"/>
        </w:rPr>
        <w:t>כי גם כאשר החוב עצמו לא נוצר במרמה</w:t>
      </w:r>
      <w:r>
        <w:rPr>
          <w:rFonts w:ascii="David" w:hAnsi="David" w:cs="Times New Roman"/>
          <w:b/>
          <w:bCs/>
          <w:sz w:val="26"/>
          <w:szCs w:val="26"/>
          <w:rtl/>
        </w:rPr>
        <w:t xml:space="preserve">, </w:t>
      </w:r>
      <w:r>
        <w:rPr>
          <w:rFonts w:ascii="David" w:hAnsi="David" w:cs="David"/>
          <w:b/>
          <w:bCs/>
          <w:sz w:val="26"/>
          <w:szCs w:val="26"/>
          <w:rtl/>
          <w:lang w:bidi="he-IL"/>
        </w:rPr>
        <w:t>אך החייב ניסה להתחמק מקיומו באמצעות מרמה תוך שימוש בהליכי פשיטת הרגל</w:t>
      </w:r>
      <w:r>
        <w:rPr>
          <w:rFonts w:ascii="David" w:hAnsi="David" w:cs="Times New Roman"/>
          <w:b/>
          <w:bCs/>
          <w:sz w:val="26"/>
          <w:szCs w:val="26"/>
          <w:rtl/>
        </w:rPr>
        <w:t xml:space="preserve">, </w:t>
      </w:r>
      <w:r>
        <w:rPr>
          <w:rFonts w:ascii="David" w:hAnsi="David" w:cs="David"/>
          <w:b/>
          <w:bCs/>
          <w:sz w:val="26"/>
          <w:szCs w:val="26"/>
          <w:rtl/>
          <w:lang w:bidi="he-IL"/>
        </w:rPr>
        <w:t xml:space="preserve">הרי שהדבר מצדיק את החרגתו מתחולת ההפטר </w:t>
      </w:r>
      <w:r>
        <w:rPr>
          <w:rFonts w:ascii="David" w:hAnsi="David" w:cs="Times New Roman"/>
          <w:b/>
          <w:bCs/>
          <w:sz w:val="26"/>
          <w:szCs w:val="26"/>
          <w:rtl/>
        </w:rPr>
        <w:t>(</w:t>
      </w:r>
      <w:r>
        <w:rPr>
          <w:rFonts w:ascii="David" w:hAnsi="David" w:cs="David"/>
          <w:b/>
          <w:bCs/>
          <w:sz w:val="26"/>
          <w:szCs w:val="26"/>
          <w:rtl/>
          <w:lang w:bidi="he-IL"/>
        </w:rPr>
        <w:t>ע</w:t>
      </w:r>
      <w:r>
        <w:rPr>
          <w:rFonts w:ascii="David" w:hAnsi="David" w:cs="Times New Roman"/>
          <w:b/>
          <w:bCs/>
          <w:sz w:val="26"/>
          <w:szCs w:val="26"/>
          <w:rtl/>
        </w:rPr>
        <w:t>"</w:t>
      </w:r>
      <w:r>
        <w:rPr>
          <w:rFonts w:ascii="David" w:hAnsi="David" w:cs="David"/>
          <w:b/>
          <w:bCs/>
          <w:sz w:val="26"/>
          <w:szCs w:val="26"/>
          <w:rtl/>
          <w:lang w:bidi="he-IL"/>
        </w:rPr>
        <w:t xml:space="preserve">א </w:t>
      </w:r>
      <w:r>
        <w:rPr>
          <w:rFonts w:ascii="David" w:hAnsi="David" w:cs="Times New Roman"/>
          <w:b/>
          <w:bCs/>
          <w:sz w:val="26"/>
          <w:szCs w:val="26"/>
          <w:rtl/>
        </w:rPr>
        <w:t xml:space="preserve">2434/19 </w:t>
      </w:r>
      <w:r>
        <w:rPr>
          <w:rFonts w:ascii="David" w:hAnsi="David" w:cs="David"/>
          <w:b/>
          <w:bCs/>
          <w:sz w:val="26"/>
          <w:szCs w:val="26"/>
          <w:rtl/>
          <w:lang w:bidi="he-IL"/>
        </w:rPr>
        <w:t>קיירה נ</w:t>
      </w:r>
      <w:r>
        <w:rPr>
          <w:rFonts w:ascii="David" w:hAnsi="David" w:cs="Times New Roman"/>
          <w:b/>
          <w:bCs/>
          <w:sz w:val="26"/>
          <w:szCs w:val="26"/>
          <w:rtl/>
        </w:rPr>
        <w:t xml:space="preserve">' </w:t>
      </w:r>
      <w:r>
        <w:rPr>
          <w:rFonts w:ascii="David" w:hAnsi="David" w:cs="David"/>
          <w:b/>
          <w:bCs/>
          <w:sz w:val="26"/>
          <w:szCs w:val="26"/>
          <w:rtl/>
          <w:lang w:bidi="he-IL"/>
        </w:rPr>
        <w:t>שלומי</w:t>
      </w:r>
      <w:r>
        <w:rPr>
          <w:rFonts w:ascii="David" w:hAnsi="David" w:cs="Times New Roman"/>
          <w:b/>
          <w:bCs/>
          <w:sz w:val="26"/>
          <w:szCs w:val="26"/>
          <w:rtl/>
        </w:rPr>
        <w:t>, [</w:t>
      </w:r>
      <w:r>
        <w:rPr>
          <w:rFonts w:ascii="David" w:hAnsi="David" w:cs="David"/>
          <w:b/>
          <w:bCs/>
          <w:sz w:val="26"/>
          <w:szCs w:val="26"/>
          <w:rtl/>
          <w:lang w:bidi="he-IL"/>
        </w:rPr>
        <w:t>פורסם בנבו</w:t>
      </w:r>
      <w:r>
        <w:rPr>
          <w:rFonts w:ascii="David" w:hAnsi="David" w:cs="Times New Roman"/>
          <w:b/>
          <w:bCs/>
          <w:sz w:val="26"/>
          <w:szCs w:val="26"/>
          <w:rtl/>
        </w:rPr>
        <w:t xml:space="preserve">] </w:t>
      </w:r>
      <w:r>
        <w:rPr>
          <w:rFonts w:ascii="David" w:hAnsi="David" w:cs="David"/>
          <w:b/>
          <w:bCs/>
          <w:sz w:val="26"/>
          <w:szCs w:val="26"/>
          <w:rtl/>
          <w:lang w:bidi="he-IL"/>
        </w:rPr>
        <w:t xml:space="preserve">פסקאות </w:t>
      </w:r>
      <w:r>
        <w:rPr>
          <w:rFonts w:ascii="David" w:hAnsi="David" w:cs="Times New Roman"/>
          <w:b/>
          <w:bCs/>
          <w:sz w:val="26"/>
          <w:szCs w:val="26"/>
          <w:rtl/>
        </w:rPr>
        <w:t>21-20</w:t>
      </w:r>
      <w:r>
        <w:rPr>
          <w:rFonts w:ascii="David" w:hAnsi="David" w:cs="David"/>
          <w:b/>
          <w:bCs/>
          <w:sz w:val="26"/>
          <w:szCs w:val="26"/>
        </w:rPr>
        <w:t xml:space="preserve"> (27.5.2020)</w:t>
      </w:r>
      <w:r>
        <w:rPr>
          <w:rFonts w:ascii="David" w:hAnsi="David" w:cs="Times New Roman"/>
          <w:b/>
          <w:bCs/>
          <w:sz w:val="26"/>
          <w:szCs w:val="26"/>
          <w:rtl/>
        </w:rPr>
        <w:t xml:space="preserve">). </w:t>
      </w:r>
      <w:r>
        <w:rPr>
          <w:rFonts w:ascii="David" w:hAnsi="David" w:cs="David"/>
          <w:b/>
          <w:bCs/>
          <w:sz w:val="26"/>
          <w:szCs w:val="26"/>
          <w:rtl/>
          <w:lang w:bidi="he-IL"/>
        </w:rPr>
        <w:t>על כך נכתב ברע</w:t>
      </w:r>
      <w:r>
        <w:rPr>
          <w:rFonts w:ascii="David" w:hAnsi="David" w:cs="Times New Roman"/>
          <w:b/>
          <w:bCs/>
          <w:sz w:val="26"/>
          <w:szCs w:val="26"/>
          <w:rtl/>
        </w:rPr>
        <w:t>"</w:t>
      </w:r>
      <w:r>
        <w:rPr>
          <w:rFonts w:ascii="David" w:hAnsi="David" w:cs="David"/>
          <w:b/>
          <w:bCs/>
          <w:sz w:val="26"/>
          <w:szCs w:val="26"/>
          <w:rtl/>
          <w:lang w:bidi="he-IL"/>
        </w:rPr>
        <w:t xml:space="preserve">א </w:t>
      </w:r>
      <w:r>
        <w:rPr>
          <w:rFonts w:ascii="David" w:hAnsi="David" w:cs="Times New Roman"/>
          <w:b/>
          <w:bCs/>
          <w:sz w:val="26"/>
          <w:szCs w:val="26"/>
          <w:rtl/>
        </w:rPr>
        <w:t xml:space="preserve">1685/14 </w:t>
      </w:r>
      <w:r>
        <w:rPr>
          <w:rFonts w:ascii="David" w:hAnsi="David" w:cs="David"/>
          <w:b/>
          <w:bCs/>
          <w:sz w:val="26"/>
          <w:szCs w:val="26"/>
          <w:rtl/>
          <w:lang w:bidi="he-IL"/>
        </w:rPr>
        <w:t>סדן נ</w:t>
      </w:r>
      <w:r>
        <w:rPr>
          <w:rFonts w:ascii="David" w:hAnsi="David" w:cs="Times New Roman"/>
          <w:b/>
          <w:bCs/>
          <w:sz w:val="26"/>
          <w:szCs w:val="26"/>
          <w:rtl/>
        </w:rPr>
        <w:t xml:space="preserve">' </w:t>
      </w:r>
      <w:r>
        <w:rPr>
          <w:rFonts w:ascii="David" w:hAnsi="David" w:cs="David"/>
          <w:b/>
          <w:bCs/>
          <w:sz w:val="26"/>
          <w:szCs w:val="26"/>
          <w:rtl/>
          <w:lang w:bidi="he-IL"/>
        </w:rPr>
        <w:t>פנינסולה נכסים בע</w:t>
      </w:r>
      <w:r>
        <w:rPr>
          <w:rFonts w:ascii="David" w:hAnsi="David" w:cs="Times New Roman"/>
          <w:b/>
          <w:bCs/>
          <w:sz w:val="26"/>
          <w:szCs w:val="26"/>
          <w:rtl/>
        </w:rPr>
        <w:t>"</w:t>
      </w:r>
      <w:r>
        <w:rPr>
          <w:rFonts w:ascii="David" w:hAnsi="David" w:cs="David"/>
          <w:b/>
          <w:bCs/>
          <w:sz w:val="26"/>
          <w:szCs w:val="26"/>
          <w:rtl/>
          <w:lang w:bidi="he-IL"/>
        </w:rPr>
        <w:t xml:space="preserve">מ </w:t>
      </w:r>
      <w:r>
        <w:rPr>
          <w:rFonts w:ascii="David" w:hAnsi="David" w:cs="Times New Roman"/>
          <w:b/>
          <w:bCs/>
          <w:sz w:val="26"/>
          <w:szCs w:val="26"/>
          <w:rtl/>
        </w:rPr>
        <w:t>[</w:t>
      </w:r>
      <w:r>
        <w:rPr>
          <w:rFonts w:ascii="David" w:hAnsi="David" w:cs="David"/>
          <w:b/>
          <w:bCs/>
          <w:sz w:val="26"/>
          <w:szCs w:val="26"/>
          <w:rtl/>
          <w:lang w:bidi="he-IL"/>
        </w:rPr>
        <w:t>פורסם בנבו</w:t>
      </w:r>
      <w:r>
        <w:rPr>
          <w:rFonts w:ascii="David" w:hAnsi="David" w:cs="Times New Roman"/>
          <w:b/>
          <w:bCs/>
          <w:sz w:val="26"/>
          <w:szCs w:val="26"/>
          <w:rtl/>
        </w:rPr>
        <w:t xml:space="preserve">] (20.1.2015) </w:t>
      </w:r>
      <w:r>
        <w:rPr>
          <w:rFonts w:ascii="David" w:hAnsi="David" w:cs="David"/>
          <w:b/>
          <w:bCs/>
          <w:sz w:val="26"/>
          <w:szCs w:val="26"/>
          <w:rtl/>
          <w:lang w:bidi="he-IL"/>
        </w:rPr>
        <w:t>כי</w:t>
      </w:r>
      <w:r>
        <w:rPr>
          <w:rFonts w:ascii="David" w:hAnsi="David" w:cs="Times New Roman"/>
          <w:b/>
          <w:bCs/>
          <w:sz w:val="26"/>
          <w:szCs w:val="26"/>
          <w:rtl/>
        </w:rPr>
        <w:t>:</w:t>
      </w:r>
      <w:r>
        <w:rPr>
          <w:rFonts w:ascii="David" w:hAnsi="David" w:cs="David"/>
          <w:b/>
          <w:bCs/>
          <w:sz w:val="26"/>
          <w:szCs w:val="26"/>
        </w:rPr>
        <w:t xml:space="preserve"> </w:t>
      </w:r>
      <w:r>
        <w:rPr>
          <w:rFonts w:ascii="David" w:hAnsi="David" w:cs="Times New Roman"/>
          <w:b/>
          <w:bCs/>
          <w:sz w:val="26"/>
          <w:szCs w:val="26"/>
          <w:rtl/>
        </w:rPr>
        <w:t>"</w:t>
      </w:r>
      <w:r>
        <w:rPr>
          <w:rFonts w:ascii="David" w:hAnsi="David" w:cs="David"/>
          <w:b/>
          <w:bCs/>
          <w:sz w:val="26"/>
          <w:szCs w:val="26"/>
          <w:rtl/>
          <w:lang w:bidi="he-IL"/>
        </w:rPr>
        <w:t xml:space="preserve">המחוקק ביקש שלא לאפשר לחוטא </w:t>
      </w:r>
      <w:r>
        <w:rPr>
          <w:rFonts w:ascii="David" w:hAnsi="David" w:cs="Times New Roman"/>
          <w:b/>
          <w:bCs/>
          <w:sz w:val="26"/>
          <w:szCs w:val="26"/>
          <w:rtl/>
        </w:rPr>
        <w:t xml:space="preserve">– </w:t>
      </w:r>
      <w:r>
        <w:rPr>
          <w:rFonts w:ascii="David" w:hAnsi="David" w:cs="David"/>
          <w:b/>
          <w:bCs/>
          <w:sz w:val="26"/>
          <w:szCs w:val="26"/>
          <w:rtl/>
          <w:lang w:bidi="he-IL"/>
        </w:rPr>
        <w:t>חייב שחובו נוצר במרמה</w:t>
      </w:r>
      <w:r>
        <w:rPr>
          <w:rFonts w:ascii="David" w:hAnsi="David" w:cs="Times New Roman"/>
          <w:b/>
          <w:bCs/>
          <w:sz w:val="26"/>
          <w:szCs w:val="26"/>
          <w:rtl/>
        </w:rPr>
        <w:t xml:space="preserve">, </w:t>
      </w:r>
      <w:r>
        <w:rPr>
          <w:rFonts w:ascii="David" w:hAnsi="David" w:cs="David"/>
          <w:b/>
          <w:bCs/>
          <w:sz w:val="26"/>
          <w:szCs w:val="26"/>
          <w:rtl/>
          <w:lang w:bidi="he-IL"/>
        </w:rPr>
        <w:t xml:space="preserve">לצאת נשכר </w:t>
      </w:r>
      <w:r>
        <w:rPr>
          <w:rFonts w:ascii="David" w:hAnsi="David" w:cs="Times New Roman"/>
          <w:b/>
          <w:bCs/>
          <w:sz w:val="26"/>
          <w:szCs w:val="26"/>
          <w:rtl/>
        </w:rPr>
        <w:t xml:space="preserve">[...] </w:t>
      </w:r>
      <w:r>
        <w:rPr>
          <w:rFonts w:ascii="David" w:hAnsi="David" w:cs="David"/>
          <w:b/>
          <w:bCs/>
          <w:sz w:val="26"/>
          <w:szCs w:val="26"/>
          <w:rtl/>
          <w:lang w:bidi="he-IL"/>
        </w:rPr>
        <w:t>מדיניות שיפוטית ראויה מחייבת פריסת הגנה רחבה על המעמד המיוחד שייחד המחוקק לחובות אלה בכלל</w:t>
      </w:r>
      <w:r>
        <w:rPr>
          <w:rFonts w:ascii="David" w:hAnsi="David" w:cs="Times New Roman"/>
          <w:b/>
          <w:bCs/>
          <w:sz w:val="26"/>
          <w:szCs w:val="26"/>
          <w:rtl/>
        </w:rPr>
        <w:t xml:space="preserve">, </w:t>
      </w:r>
      <w:r>
        <w:rPr>
          <w:rFonts w:ascii="David" w:hAnsi="David" w:cs="David"/>
          <w:b/>
          <w:bCs/>
          <w:sz w:val="26"/>
          <w:szCs w:val="26"/>
          <w:rtl/>
          <w:lang w:bidi="he-IL"/>
        </w:rPr>
        <w:t>ולחוב שלפי הטענה נוצר במרמה בפרט</w:t>
      </w:r>
      <w:r>
        <w:rPr>
          <w:rFonts w:ascii="David" w:hAnsi="David" w:cs="Times New Roman"/>
          <w:b/>
          <w:bCs/>
          <w:sz w:val="26"/>
          <w:szCs w:val="26"/>
          <w:rtl/>
        </w:rPr>
        <w:t xml:space="preserve">; </w:t>
      </w:r>
      <w:r>
        <w:rPr>
          <w:rFonts w:ascii="David" w:hAnsi="David" w:cs="David"/>
          <w:b/>
          <w:bCs/>
          <w:sz w:val="26"/>
          <w:szCs w:val="26"/>
          <w:rtl/>
          <w:lang w:bidi="he-IL"/>
        </w:rPr>
        <w:t>לכך טעם ערכי משמעותי וראוי</w:t>
      </w:r>
      <w:r>
        <w:rPr>
          <w:rFonts w:ascii="David" w:hAnsi="David" w:cs="Times New Roman"/>
          <w:b/>
          <w:bCs/>
          <w:sz w:val="26"/>
          <w:szCs w:val="26"/>
          <w:rtl/>
        </w:rPr>
        <w:t>." (</w:t>
      </w:r>
      <w:r>
        <w:rPr>
          <w:rFonts w:ascii="David" w:hAnsi="David" w:cs="David"/>
          <w:b/>
          <w:bCs/>
          <w:sz w:val="26"/>
          <w:szCs w:val="26"/>
          <w:rtl/>
          <w:lang w:bidi="he-IL"/>
        </w:rPr>
        <w:t>שם</w:t>
      </w:r>
      <w:r>
        <w:rPr>
          <w:rFonts w:ascii="David" w:hAnsi="David" w:cs="Times New Roman"/>
          <w:b/>
          <w:bCs/>
          <w:sz w:val="26"/>
          <w:szCs w:val="26"/>
          <w:rtl/>
        </w:rPr>
        <w:t xml:space="preserve">, </w:t>
      </w:r>
      <w:r>
        <w:rPr>
          <w:rFonts w:ascii="David" w:hAnsi="David" w:cs="David"/>
          <w:b/>
          <w:bCs/>
          <w:sz w:val="26"/>
          <w:szCs w:val="26"/>
          <w:rtl/>
          <w:lang w:bidi="he-IL"/>
        </w:rPr>
        <w:t>פסקה ט</w:t>
      </w:r>
      <w:r>
        <w:rPr>
          <w:rFonts w:ascii="David" w:hAnsi="David" w:cs="Times New Roman"/>
          <w:b/>
          <w:bCs/>
          <w:sz w:val="26"/>
          <w:szCs w:val="26"/>
          <w:rtl/>
        </w:rPr>
        <w:t>"</w:t>
      </w:r>
      <w:r>
        <w:rPr>
          <w:rFonts w:ascii="David" w:hAnsi="David" w:cs="David"/>
          <w:b/>
          <w:bCs/>
          <w:sz w:val="26"/>
          <w:szCs w:val="26"/>
          <w:rtl/>
          <w:lang w:bidi="he-IL"/>
        </w:rPr>
        <w:t>ז</w:t>
      </w:r>
      <w:r>
        <w:rPr>
          <w:rFonts w:ascii="David" w:hAnsi="David" w:cs="Times New Roman"/>
          <w:b/>
          <w:bCs/>
          <w:sz w:val="26"/>
          <w:szCs w:val="26"/>
          <w:rtl/>
        </w:rPr>
        <w:t>).</w:t>
      </w:r>
    </w:p>
    <w:p w:rsidR="00214F7B" w:rsidRDefault="00214F7B" w:rsidP="00425A78">
      <w:pPr>
        <w:pStyle w:val="af1"/>
        <w:bidi/>
        <w:spacing w:after="360" w:line="360" w:lineRule="auto"/>
        <w:ind w:left="869" w:right="1134"/>
        <w:jc w:val="both"/>
        <w:rPr>
          <w:rFonts w:ascii="David" w:hAnsi="David" w:cs="David"/>
          <w:b/>
          <w:bCs/>
          <w:sz w:val="26"/>
          <w:szCs w:val="26"/>
          <w:rtl/>
        </w:rPr>
      </w:pPr>
      <w:r>
        <w:rPr>
          <w:rFonts w:ascii="David" w:hAnsi="David" w:cs="Times New Roman"/>
          <w:b/>
          <w:bCs/>
          <w:sz w:val="26"/>
          <w:szCs w:val="26"/>
          <w:rtl/>
        </w:rPr>
        <w:t>10.</w:t>
      </w:r>
      <w:r>
        <w:rPr>
          <w:rFonts w:ascii="David" w:hAnsi="David" w:cs="David"/>
          <w:b/>
          <w:bCs/>
          <w:sz w:val="26"/>
          <w:szCs w:val="26"/>
          <w:rtl/>
          <w:lang w:bidi="he-IL"/>
        </w:rPr>
        <w:t xml:space="preserve"> הכללים האמורים נקבעו זמן רב טרם כניסתו של החוק לתוקף</w:t>
      </w:r>
      <w:r>
        <w:rPr>
          <w:rFonts w:ascii="David" w:hAnsi="David" w:cs="Times New Roman"/>
          <w:b/>
          <w:bCs/>
          <w:sz w:val="26"/>
          <w:szCs w:val="26"/>
          <w:rtl/>
        </w:rPr>
        <w:t xml:space="preserve">, </w:t>
      </w:r>
      <w:r>
        <w:rPr>
          <w:rFonts w:ascii="David" w:hAnsi="David" w:cs="David"/>
          <w:b/>
          <w:bCs/>
          <w:sz w:val="26"/>
          <w:szCs w:val="26"/>
          <w:rtl/>
          <w:lang w:bidi="he-IL"/>
        </w:rPr>
        <w:t>אך הם רלוונטיים ביתר שאת גם כיום</w:t>
      </w:r>
      <w:r>
        <w:rPr>
          <w:rFonts w:ascii="David" w:hAnsi="David" w:cs="Times New Roman"/>
          <w:b/>
          <w:bCs/>
          <w:sz w:val="26"/>
          <w:szCs w:val="26"/>
          <w:rtl/>
        </w:rPr>
        <w:t xml:space="preserve">. </w:t>
      </w:r>
      <w:r>
        <w:rPr>
          <w:rFonts w:ascii="David" w:hAnsi="David" w:cs="David"/>
          <w:b/>
          <w:bCs/>
          <w:sz w:val="26"/>
          <w:szCs w:val="26"/>
          <w:rtl/>
          <w:lang w:bidi="he-IL"/>
        </w:rPr>
        <w:t>ההסדר החדש</w:t>
      </w:r>
      <w:r>
        <w:rPr>
          <w:rFonts w:ascii="David" w:hAnsi="David" w:cs="Times New Roman"/>
          <w:b/>
          <w:bCs/>
          <w:sz w:val="26"/>
          <w:szCs w:val="26"/>
          <w:rtl/>
        </w:rPr>
        <w:t xml:space="preserve">, </w:t>
      </w:r>
      <w:r>
        <w:rPr>
          <w:rFonts w:ascii="David" w:hAnsi="David" w:cs="David"/>
          <w:b/>
          <w:bCs/>
          <w:sz w:val="26"/>
          <w:szCs w:val="26"/>
          <w:rtl/>
          <w:lang w:bidi="he-IL"/>
        </w:rPr>
        <w:t xml:space="preserve">המקביל לסעיף </w:t>
      </w:r>
      <w:r>
        <w:rPr>
          <w:rFonts w:ascii="David" w:hAnsi="David" w:cs="Times New Roman"/>
          <w:b/>
          <w:bCs/>
          <w:sz w:val="26"/>
          <w:szCs w:val="26"/>
          <w:rtl/>
        </w:rPr>
        <w:t>69(</w:t>
      </w:r>
      <w:r>
        <w:rPr>
          <w:rFonts w:ascii="David" w:hAnsi="David" w:cs="David"/>
          <w:b/>
          <w:bCs/>
          <w:sz w:val="26"/>
          <w:szCs w:val="26"/>
          <w:rtl/>
          <w:lang w:bidi="he-IL"/>
        </w:rPr>
        <w:t>א</w:t>
      </w:r>
      <w:r>
        <w:rPr>
          <w:rFonts w:ascii="David" w:hAnsi="David" w:cs="Times New Roman"/>
          <w:b/>
          <w:bCs/>
          <w:sz w:val="26"/>
          <w:szCs w:val="26"/>
          <w:rtl/>
        </w:rPr>
        <w:t xml:space="preserve">)(2) </w:t>
      </w:r>
      <w:r>
        <w:rPr>
          <w:rFonts w:ascii="David" w:hAnsi="David" w:cs="David"/>
          <w:b/>
          <w:bCs/>
          <w:sz w:val="26"/>
          <w:szCs w:val="26"/>
          <w:rtl/>
          <w:lang w:bidi="he-IL"/>
        </w:rPr>
        <w:t>לפקודה</w:t>
      </w:r>
      <w:r>
        <w:rPr>
          <w:rFonts w:ascii="David" w:hAnsi="David" w:cs="Times New Roman"/>
          <w:b/>
          <w:bCs/>
          <w:sz w:val="26"/>
          <w:szCs w:val="26"/>
          <w:rtl/>
        </w:rPr>
        <w:t xml:space="preserve">, </w:t>
      </w:r>
      <w:r>
        <w:rPr>
          <w:rFonts w:ascii="David" w:hAnsi="David" w:cs="David"/>
          <w:b/>
          <w:bCs/>
          <w:sz w:val="26"/>
          <w:szCs w:val="26"/>
          <w:rtl/>
          <w:lang w:bidi="he-IL"/>
        </w:rPr>
        <w:t xml:space="preserve">קבוע בסעיף </w:t>
      </w:r>
      <w:r>
        <w:rPr>
          <w:rFonts w:ascii="David" w:hAnsi="David" w:cs="Times New Roman"/>
          <w:b/>
          <w:bCs/>
          <w:sz w:val="26"/>
          <w:szCs w:val="26"/>
          <w:rtl/>
        </w:rPr>
        <w:t xml:space="preserve">175 </w:t>
      </w:r>
      <w:r>
        <w:rPr>
          <w:rFonts w:ascii="David" w:hAnsi="David" w:cs="David"/>
          <w:b/>
          <w:bCs/>
          <w:sz w:val="26"/>
          <w:szCs w:val="26"/>
          <w:rtl/>
          <w:lang w:bidi="he-IL"/>
        </w:rPr>
        <w:t>לחוק שזו לשונו</w:t>
      </w:r>
      <w:r>
        <w:rPr>
          <w:rFonts w:ascii="David" w:hAnsi="David" w:cs="Times New Roman"/>
          <w:b/>
          <w:bCs/>
          <w:sz w:val="26"/>
          <w:szCs w:val="26"/>
          <w:rtl/>
        </w:rPr>
        <w:t>:  </w:t>
      </w:r>
    </w:p>
    <w:p w:rsidR="00214F7B" w:rsidRDefault="00214F7B" w:rsidP="00425A78">
      <w:pPr>
        <w:pStyle w:val="af1"/>
        <w:bidi/>
        <w:spacing w:after="360" w:line="360" w:lineRule="auto"/>
        <w:ind w:left="869" w:right="1134"/>
        <w:jc w:val="both"/>
        <w:rPr>
          <w:rFonts w:ascii="David" w:hAnsi="David" w:cs="David"/>
          <w:b/>
          <w:bCs/>
          <w:sz w:val="26"/>
          <w:szCs w:val="26"/>
          <w:rtl/>
        </w:rPr>
      </w:pPr>
      <w:r>
        <w:rPr>
          <w:rFonts w:ascii="David" w:hAnsi="David" w:cs="Times New Roman"/>
          <w:b/>
          <w:bCs/>
          <w:sz w:val="26"/>
          <w:szCs w:val="26"/>
          <w:rtl/>
        </w:rPr>
        <w:t>"(</w:t>
      </w:r>
      <w:r>
        <w:rPr>
          <w:rFonts w:ascii="David" w:hAnsi="David" w:cs="David"/>
          <w:b/>
          <w:bCs/>
          <w:sz w:val="26"/>
          <w:szCs w:val="26"/>
          <w:rtl/>
          <w:lang w:bidi="he-IL"/>
        </w:rPr>
        <w:t>א</w:t>
      </w:r>
      <w:r>
        <w:rPr>
          <w:rFonts w:ascii="David" w:hAnsi="David" w:cs="Times New Roman"/>
          <w:b/>
          <w:bCs/>
          <w:sz w:val="26"/>
          <w:szCs w:val="26"/>
          <w:rtl/>
        </w:rPr>
        <w:t>)  </w:t>
      </w:r>
      <w:r>
        <w:rPr>
          <w:rFonts w:ascii="David" w:hAnsi="David" w:cs="David"/>
          <w:b/>
          <w:bCs/>
          <w:sz w:val="26"/>
          <w:szCs w:val="26"/>
          <w:rtl/>
          <w:lang w:bidi="he-IL"/>
        </w:rPr>
        <w:t>ההפטר לא יחול על חובות עבר אלה</w:t>
      </w:r>
      <w:r>
        <w:rPr>
          <w:rFonts w:ascii="David" w:hAnsi="David" w:cs="Times New Roman"/>
          <w:b/>
          <w:bCs/>
          <w:sz w:val="26"/>
          <w:szCs w:val="26"/>
          <w:rtl/>
        </w:rPr>
        <w:t>: (1)   </w:t>
      </w:r>
      <w:r>
        <w:rPr>
          <w:rFonts w:ascii="David" w:hAnsi="David" w:cs="David"/>
          <w:b/>
          <w:bCs/>
          <w:sz w:val="26"/>
          <w:szCs w:val="26"/>
          <w:rtl/>
          <w:lang w:bidi="he-IL"/>
        </w:rPr>
        <w:t>תשלום עונשי</w:t>
      </w:r>
      <w:r>
        <w:rPr>
          <w:rFonts w:ascii="David" w:hAnsi="David" w:cs="Times New Roman"/>
          <w:b/>
          <w:bCs/>
          <w:sz w:val="26"/>
          <w:szCs w:val="26"/>
          <w:rtl/>
        </w:rPr>
        <w:t>; (2)   </w:t>
      </w:r>
      <w:r>
        <w:rPr>
          <w:rFonts w:ascii="David" w:hAnsi="David" w:cs="David"/>
          <w:b/>
          <w:bCs/>
          <w:sz w:val="26"/>
          <w:szCs w:val="26"/>
          <w:rtl/>
          <w:lang w:bidi="he-IL"/>
        </w:rPr>
        <w:t>חוב שנוצר בדרך מרמה או הנובע מעבירת גניבה או מעבירת מין או אלימות חמורה כהגדרתה בחוק זכויות נפגעי עבירה</w:t>
      </w:r>
      <w:r>
        <w:rPr>
          <w:rFonts w:ascii="David" w:hAnsi="David" w:cs="Times New Roman"/>
          <w:b/>
          <w:bCs/>
          <w:sz w:val="26"/>
          <w:szCs w:val="26"/>
          <w:rtl/>
        </w:rPr>
        <w:t xml:space="preserve">, </w:t>
      </w:r>
      <w:r>
        <w:rPr>
          <w:rFonts w:ascii="David" w:hAnsi="David" w:cs="David"/>
          <w:b/>
          <w:bCs/>
          <w:sz w:val="26"/>
          <w:szCs w:val="26"/>
          <w:rtl/>
          <w:lang w:bidi="he-IL"/>
        </w:rPr>
        <w:t>התשס</w:t>
      </w:r>
      <w:r>
        <w:rPr>
          <w:rFonts w:ascii="David" w:hAnsi="David" w:cs="Times New Roman"/>
          <w:b/>
          <w:bCs/>
          <w:sz w:val="26"/>
          <w:szCs w:val="26"/>
          <w:rtl/>
        </w:rPr>
        <w:t>"</w:t>
      </w:r>
      <w:r>
        <w:rPr>
          <w:rFonts w:ascii="David" w:hAnsi="David" w:cs="David"/>
          <w:b/>
          <w:bCs/>
          <w:sz w:val="26"/>
          <w:szCs w:val="26"/>
          <w:rtl/>
          <w:lang w:bidi="he-IL"/>
        </w:rPr>
        <w:t>א</w:t>
      </w:r>
      <w:r>
        <w:rPr>
          <w:rFonts w:ascii="David" w:hAnsi="David" w:cs="Times New Roman"/>
          <w:b/>
          <w:bCs/>
          <w:sz w:val="26"/>
          <w:szCs w:val="26"/>
          <w:rtl/>
        </w:rPr>
        <w:t xml:space="preserve">-2001; [...] </w:t>
      </w:r>
    </w:p>
    <w:p w:rsidR="00214F7B" w:rsidRDefault="00214F7B" w:rsidP="00425A78">
      <w:pPr>
        <w:pStyle w:val="af1"/>
        <w:bidi/>
        <w:spacing w:after="360" w:line="360" w:lineRule="auto"/>
        <w:ind w:left="869" w:right="1134"/>
        <w:jc w:val="both"/>
        <w:rPr>
          <w:rFonts w:ascii="David" w:hAnsi="David" w:cs="David"/>
          <w:b/>
          <w:bCs/>
          <w:sz w:val="26"/>
          <w:szCs w:val="26"/>
          <w:rtl/>
          <w:lang w:bidi="he-IL"/>
        </w:rPr>
      </w:pPr>
      <w:r>
        <w:rPr>
          <w:rFonts w:ascii="David" w:hAnsi="David" w:cs="Times New Roman"/>
          <w:b/>
          <w:bCs/>
          <w:sz w:val="26"/>
          <w:szCs w:val="26"/>
          <w:rtl/>
        </w:rPr>
        <w:t>(</w:t>
      </w:r>
      <w:r>
        <w:rPr>
          <w:rFonts w:ascii="David" w:hAnsi="David" w:cs="David"/>
          <w:b/>
          <w:bCs/>
          <w:sz w:val="26"/>
          <w:szCs w:val="26"/>
          <w:rtl/>
          <w:lang w:bidi="he-IL"/>
        </w:rPr>
        <w:t>ג</w:t>
      </w:r>
      <w:r>
        <w:rPr>
          <w:rFonts w:ascii="David" w:hAnsi="David" w:cs="Times New Roman"/>
          <w:b/>
          <w:bCs/>
          <w:sz w:val="26"/>
          <w:szCs w:val="26"/>
          <w:rtl/>
        </w:rPr>
        <w:t>)   </w:t>
      </w:r>
      <w:r>
        <w:rPr>
          <w:rFonts w:ascii="David" w:hAnsi="David" w:cs="David"/>
          <w:b/>
          <w:bCs/>
          <w:sz w:val="26"/>
          <w:szCs w:val="26"/>
          <w:rtl/>
          <w:lang w:bidi="he-IL"/>
        </w:rPr>
        <w:t xml:space="preserve">נוסף על האמור בסעיף קטן </w:t>
      </w:r>
      <w:r>
        <w:rPr>
          <w:rFonts w:ascii="David" w:hAnsi="David" w:cs="Times New Roman"/>
          <w:b/>
          <w:bCs/>
          <w:sz w:val="26"/>
          <w:szCs w:val="26"/>
          <w:rtl/>
        </w:rPr>
        <w:t>(</w:t>
      </w:r>
      <w:r>
        <w:rPr>
          <w:rFonts w:ascii="David" w:hAnsi="David" w:cs="David"/>
          <w:b/>
          <w:bCs/>
          <w:sz w:val="26"/>
          <w:szCs w:val="26"/>
          <w:rtl/>
          <w:lang w:bidi="he-IL"/>
        </w:rPr>
        <w:t>א</w:t>
      </w:r>
      <w:r>
        <w:rPr>
          <w:rFonts w:ascii="David" w:hAnsi="David" w:cs="Times New Roman"/>
          <w:b/>
          <w:bCs/>
          <w:sz w:val="26"/>
          <w:szCs w:val="26"/>
          <w:rtl/>
        </w:rPr>
        <w:t xml:space="preserve">)(2), </w:t>
      </w:r>
      <w:r>
        <w:rPr>
          <w:rFonts w:ascii="David" w:hAnsi="David" w:cs="David"/>
          <w:b/>
          <w:bCs/>
          <w:sz w:val="26"/>
          <w:szCs w:val="26"/>
          <w:rtl/>
          <w:lang w:bidi="he-IL"/>
        </w:rPr>
        <w:t xml:space="preserve">בית המשפט רשאי להורות כי ההפטר לא יחול על חוב עבר שמקורו בחובת פיצויים לפי סעיף </w:t>
      </w:r>
      <w:r>
        <w:rPr>
          <w:rFonts w:ascii="David" w:hAnsi="David" w:cs="Times New Roman"/>
          <w:b/>
          <w:bCs/>
          <w:sz w:val="26"/>
          <w:szCs w:val="26"/>
          <w:rtl/>
        </w:rPr>
        <w:t xml:space="preserve">77 </w:t>
      </w:r>
      <w:r>
        <w:rPr>
          <w:rFonts w:ascii="David" w:hAnsi="David" w:cs="David"/>
          <w:b/>
          <w:bCs/>
          <w:sz w:val="26"/>
          <w:szCs w:val="26"/>
          <w:rtl/>
          <w:lang w:bidi="he-IL"/>
        </w:rPr>
        <w:t>לחוק העונשין</w:t>
      </w:r>
      <w:r>
        <w:rPr>
          <w:rFonts w:ascii="David" w:hAnsi="David" w:cs="Times New Roman"/>
          <w:b/>
          <w:bCs/>
          <w:sz w:val="26"/>
          <w:szCs w:val="26"/>
          <w:rtl/>
        </w:rPr>
        <w:t xml:space="preserve">, </w:t>
      </w:r>
      <w:r>
        <w:rPr>
          <w:rFonts w:ascii="David" w:hAnsi="David" w:cs="David"/>
          <w:b/>
          <w:bCs/>
          <w:sz w:val="26"/>
          <w:szCs w:val="26"/>
          <w:rtl/>
          <w:lang w:bidi="he-IL"/>
        </w:rPr>
        <w:t>אם מצא כי הדבר מוצדק נוכח מהות העבירה שבשלה הוטלו הפיצויים</w:t>
      </w:r>
      <w:r>
        <w:rPr>
          <w:rFonts w:ascii="David" w:hAnsi="David" w:cs="Times New Roman"/>
          <w:b/>
          <w:bCs/>
          <w:sz w:val="26"/>
          <w:szCs w:val="26"/>
          <w:rtl/>
        </w:rPr>
        <w:t xml:space="preserve">, </w:t>
      </w:r>
      <w:r>
        <w:rPr>
          <w:rFonts w:ascii="David" w:hAnsi="David" w:cs="David"/>
          <w:b/>
          <w:bCs/>
          <w:sz w:val="26"/>
          <w:szCs w:val="26"/>
          <w:rtl/>
          <w:lang w:bidi="he-IL"/>
        </w:rPr>
        <w:t>חומרתה או נסיבותיה</w:t>
      </w:r>
      <w:r>
        <w:rPr>
          <w:rFonts w:ascii="David" w:hAnsi="David" w:cs="Times New Roman"/>
          <w:b/>
          <w:bCs/>
          <w:sz w:val="26"/>
          <w:szCs w:val="26"/>
          <w:rtl/>
        </w:rPr>
        <w:t xml:space="preserve">". </w:t>
      </w:r>
      <w:r>
        <w:rPr>
          <w:rFonts w:ascii="David" w:hAnsi="David" w:cs="David"/>
          <w:b/>
          <w:bCs/>
          <w:sz w:val="26"/>
          <w:szCs w:val="26"/>
          <w:rtl/>
          <w:lang w:bidi="he-IL"/>
        </w:rPr>
        <w:t>על פניו ומבלי לדקדק פורתא במילות החוק</w:t>
      </w:r>
      <w:r>
        <w:rPr>
          <w:rFonts w:ascii="David" w:hAnsi="David" w:cs="Times New Roman"/>
          <w:b/>
          <w:bCs/>
          <w:sz w:val="26"/>
          <w:szCs w:val="26"/>
          <w:rtl/>
        </w:rPr>
        <w:t xml:space="preserve">, </w:t>
      </w:r>
      <w:r>
        <w:rPr>
          <w:rFonts w:ascii="David" w:hAnsi="David" w:cs="David"/>
          <w:b/>
          <w:bCs/>
          <w:sz w:val="26"/>
          <w:szCs w:val="26"/>
          <w:rtl/>
          <w:lang w:bidi="he-IL"/>
        </w:rPr>
        <w:t xml:space="preserve">ההסדר החדש מבוסס בעיקרו על הוראות סעיף </w:t>
      </w:r>
      <w:r>
        <w:rPr>
          <w:rFonts w:ascii="David" w:hAnsi="David" w:cs="Times New Roman"/>
          <w:b/>
          <w:bCs/>
          <w:sz w:val="26"/>
          <w:szCs w:val="26"/>
          <w:rtl/>
        </w:rPr>
        <w:t>69(</w:t>
      </w:r>
      <w:r>
        <w:rPr>
          <w:rFonts w:ascii="David" w:hAnsi="David" w:cs="David"/>
          <w:b/>
          <w:bCs/>
          <w:sz w:val="26"/>
          <w:szCs w:val="26"/>
          <w:rtl/>
          <w:lang w:bidi="he-IL"/>
        </w:rPr>
        <w:t>א</w:t>
      </w:r>
      <w:r>
        <w:rPr>
          <w:rFonts w:ascii="David" w:hAnsi="David" w:cs="Times New Roman"/>
          <w:b/>
          <w:bCs/>
          <w:sz w:val="26"/>
          <w:szCs w:val="26"/>
          <w:rtl/>
        </w:rPr>
        <w:t xml:space="preserve">)(2) </w:t>
      </w:r>
      <w:r>
        <w:rPr>
          <w:rFonts w:ascii="David" w:hAnsi="David" w:cs="David"/>
          <w:b/>
          <w:bCs/>
          <w:sz w:val="26"/>
          <w:szCs w:val="26"/>
          <w:rtl/>
          <w:lang w:bidi="he-IL"/>
        </w:rPr>
        <w:t>לפקודה</w:t>
      </w:r>
      <w:r>
        <w:rPr>
          <w:rFonts w:ascii="David" w:hAnsi="David" w:cs="Times New Roman"/>
          <w:b/>
          <w:bCs/>
          <w:sz w:val="26"/>
          <w:szCs w:val="26"/>
          <w:rtl/>
        </w:rPr>
        <w:t xml:space="preserve">, </w:t>
      </w:r>
      <w:r>
        <w:rPr>
          <w:rFonts w:ascii="David" w:hAnsi="David" w:cs="David"/>
          <w:b/>
          <w:bCs/>
          <w:sz w:val="26"/>
          <w:szCs w:val="26"/>
          <w:rtl/>
          <w:lang w:bidi="he-IL"/>
        </w:rPr>
        <w:t>אם כי החוק הוסיף על הוראות הפקודה שני עניינים</w:t>
      </w:r>
      <w:r>
        <w:rPr>
          <w:rFonts w:ascii="David" w:hAnsi="David" w:cs="Times New Roman"/>
          <w:b/>
          <w:bCs/>
          <w:sz w:val="26"/>
          <w:szCs w:val="26"/>
          <w:rtl/>
        </w:rPr>
        <w:t xml:space="preserve">: </w:t>
      </w:r>
      <w:r>
        <w:rPr>
          <w:rFonts w:ascii="David" w:hAnsi="David" w:cs="David"/>
          <w:b/>
          <w:bCs/>
          <w:sz w:val="26"/>
          <w:szCs w:val="26"/>
          <w:rtl/>
          <w:lang w:bidi="he-IL"/>
        </w:rPr>
        <w:t>האחד</w:t>
      </w:r>
      <w:r>
        <w:rPr>
          <w:rFonts w:ascii="David" w:hAnsi="David" w:cs="Times New Roman"/>
          <w:b/>
          <w:bCs/>
          <w:sz w:val="26"/>
          <w:szCs w:val="26"/>
          <w:rtl/>
        </w:rPr>
        <w:t xml:space="preserve">, </w:t>
      </w:r>
      <w:r>
        <w:rPr>
          <w:rFonts w:ascii="David" w:hAnsi="David" w:cs="David"/>
          <w:b/>
          <w:bCs/>
          <w:sz w:val="26"/>
          <w:szCs w:val="26"/>
          <w:rtl/>
          <w:lang w:bidi="he-IL"/>
        </w:rPr>
        <w:t>עבירות חמורות נוספות שלא מוצדק לפטור את החייב מחובות שנוצרו בשל ביצוען</w:t>
      </w:r>
      <w:r>
        <w:rPr>
          <w:rFonts w:ascii="David" w:hAnsi="David" w:cs="Times New Roman"/>
          <w:b/>
          <w:bCs/>
          <w:sz w:val="26"/>
          <w:szCs w:val="26"/>
          <w:rtl/>
        </w:rPr>
        <w:t xml:space="preserve">, </w:t>
      </w:r>
      <w:r>
        <w:rPr>
          <w:rFonts w:ascii="David" w:hAnsi="David" w:cs="David"/>
          <w:b/>
          <w:bCs/>
          <w:sz w:val="26"/>
          <w:szCs w:val="26"/>
          <w:rtl/>
          <w:lang w:bidi="he-IL"/>
        </w:rPr>
        <w:t xml:space="preserve">נוכח העדפת האינטרס הציבורי </w:t>
      </w:r>
      <w:r>
        <w:rPr>
          <w:rFonts w:ascii="David" w:hAnsi="David" w:cs="Times New Roman"/>
          <w:b/>
          <w:bCs/>
          <w:sz w:val="26"/>
          <w:szCs w:val="26"/>
          <w:rtl/>
        </w:rPr>
        <w:t>(</w:t>
      </w:r>
      <w:r>
        <w:rPr>
          <w:rFonts w:ascii="David" w:hAnsi="David" w:cs="David"/>
          <w:b/>
          <w:bCs/>
          <w:sz w:val="26"/>
          <w:szCs w:val="26"/>
          <w:rtl/>
          <w:lang w:bidi="he-IL"/>
        </w:rPr>
        <w:t xml:space="preserve">סעיף </w:t>
      </w:r>
      <w:r>
        <w:rPr>
          <w:rFonts w:ascii="David" w:hAnsi="David" w:cs="Times New Roman"/>
          <w:b/>
          <w:bCs/>
          <w:sz w:val="26"/>
          <w:szCs w:val="26"/>
          <w:rtl/>
        </w:rPr>
        <w:t>175(</w:t>
      </w:r>
      <w:r>
        <w:rPr>
          <w:rFonts w:ascii="David" w:hAnsi="David" w:cs="David"/>
          <w:b/>
          <w:bCs/>
          <w:sz w:val="26"/>
          <w:szCs w:val="26"/>
          <w:rtl/>
          <w:lang w:bidi="he-IL"/>
        </w:rPr>
        <w:t>א</w:t>
      </w:r>
      <w:r>
        <w:rPr>
          <w:rFonts w:ascii="David" w:hAnsi="David" w:cs="Times New Roman"/>
          <w:b/>
          <w:bCs/>
          <w:sz w:val="26"/>
          <w:szCs w:val="26"/>
          <w:rtl/>
        </w:rPr>
        <w:t xml:space="preserve">)(2) </w:t>
      </w:r>
      <w:r>
        <w:rPr>
          <w:rFonts w:ascii="David" w:hAnsi="David" w:cs="David"/>
          <w:b/>
          <w:bCs/>
          <w:sz w:val="26"/>
          <w:szCs w:val="26"/>
          <w:rtl/>
          <w:lang w:bidi="he-IL"/>
        </w:rPr>
        <w:t>לחוק</w:t>
      </w:r>
      <w:r>
        <w:rPr>
          <w:rFonts w:ascii="David" w:hAnsi="David" w:cs="Times New Roman"/>
          <w:b/>
          <w:bCs/>
          <w:sz w:val="26"/>
          <w:szCs w:val="26"/>
          <w:rtl/>
        </w:rPr>
        <w:t xml:space="preserve">); </w:t>
      </w:r>
      <w:r>
        <w:rPr>
          <w:rFonts w:ascii="David" w:hAnsi="David" w:cs="David"/>
          <w:b/>
          <w:bCs/>
          <w:sz w:val="26"/>
          <w:szCs w:val="26"/>
          <w:rtl/>
          <w:lang w:bidi="he-IL"/>
        </w:rPr>
        <w:t>האחֵר</w:t>
      </w:r>
      <w:r>
        <w:rPr>
          <w:rFonts w:ascii="David" w:hAnsi="David" w:cs="Times New Roman"/>
          <w:b/>
          <w:bCs/>
          <w:sz w:val="26"/>
          <w:szCs w:val="26"/>
          <w:rtl/>
        </w:rPr>
        <w:t xml:space="preserve">, </w:t>
      </w:r>
      <w:r>
        <w:rPr>
          <w:rFonts w:ascii="David" w:hAnsi="David" w:cs="David"/>
          <w:b/>
          <w:bCs/>
          <w:sz w:val="26"/>
          <w:szCs w:val="26"/>
          <w:rtl/>
          <w:lang w:bidi="he-IL"/>
        </w:rPr>
        <w:t xml:space="preserve">הקניית סמכות לבית המשפט לקבוע אם חוב שמקורו בחובת פיצויים לפי סעיף </w:t>
      </w:r>
      <w:r>
        <w:rPr>
          <w:rFonts w:ascii="David" w:hAnsi="David" w:cs="Times New Roman"/>
          <w:b/>
          <w:bCs/>
          <w:sz w:val="26"/>
          <w:szCs w:val="26"/>
          <w:rtl/>
        </w:rPr>
        <w:t xml:space="preserve">77 </w:t>
      </w:r>
      <w:r>
        <w:rPr>
          <w:rFonts w:ascii="David" w:hAnsi="David" w:cs="David"/>
          <w:b/>
          <w:bCs/>
          <w:sz w:val="26"/>
          <w:szCs w:val="26"/>
          <w:rtl/>
          <w:lang w:bidi="he-IL"/>
        </w:rPr>
        <w:t>לחוק העונשין ייכלל בהפטר אם לאו</w:t>
      </w:r>
      <w:r>
        <w:rPr>
          <w:rFonts w:ascii="David" w:hAnsi="David" w:cs="Times New Roman"/>
          <w:b/>
          <w:bCs/>
          <w:sz w:val="26"/>
          <w:szCs w:val="26"/>
          <w:rtl/>
        </w:rPr>
        <w:t xml:space="preserve">. </w:t>
      </w:r>
      <w:r>
        <w:rPr>
          <w:rFonts w:ascii="David" w:hAnsi="David" w:cs="David"/>
          <w:b/>
          <w:bCs/>
          <w:sz w:val="26"/>
          <w:szCs w:val="26"/>
          <w:rtl/>
          <w:lang w:bidi="he-IL"/>
        </w:rPr>
        <w:t>לא למותר לציין כי שיקול הדעת הנתון לבית המשפט להחרגת חוב מסוג זה מן ההפטר מתמקד בבחינת העבירה עצמה</w:t>
      </w:r>
      <w:r>
        <w:rPr>
          <w:rFonts w:ascii="David" w:hAnsi="David" w:cs="Times New Roman"/>
          <w:b/>
          <w:bCs/>
          <w:sz w:val="26"/>
          <w:szCs w:val="26"/>
          <w:rtl/>
        </w:rPr>
        <w:t xml:space="preserve">, </w:t>
      </w:r>
      <w:r>
        <w:rPr>
          <w:rFonts w:ascii="David" w:hAnsi="David" w:cs="David"/>
          <w:b/>
          <w:bCs/>
          <w:sz w:val="26"/>
          <w:szCs w:val="26"/>
          <w:rtl/>
          <w:lang w:bidi="he-IL"/>
        </w:rPr>
        <w:t>במהותה</w:t>
      </w:r>
      <w:r>
        <w:rPr>
          <w:rFonts w:ascii="David" w:hAnsi="David" w:cs="Times New Roman"/>
          <w:b/>
          <w:bCs/>
          <w:sz w:val="26"/>
          <w:szCs w:val="26"/>
          <w:rtl/>
        </w:rPr>
        <w:t xml:space="preserve">, </w:t>
      </w:r>
      <w:r>
        <w:rPr>
          <w:rFonts w:ascii="David" w:hAnsi="David" w:cs="David"/>
          <w:b/>
          <w:bCs/>
          <w:sz w:val="26"/>
          <w:szCs w:val="26"/>
          <w:rtl/>
          <w:lang w:bidi="he-IL"/>
        </w:rPr>
        <w:t xml:space="preserve">בחומרתה ובנסיבות שאפפו את ביצועה </w:t>
      </w:r>
      <w:r>
        <w:rPr>
          <w:rFonts w:ascii="David" w:hAnsi="David" w:cs="Times New Roman"/>
          <w:b/>
          <w:bCs/>
          <w:sz w:val="26"/>
          <w:szCs w:val="26"/>
          <w:rtl/>
        </w:rPr>
        <w:t>(</w:t>
      </w:r>
      <w:r>
        <w:rPr>
          <w:rFonts w:ascii="David" w:hAnsi="David" w:cs="David"/>
          <w:b/>
          <w:bCs/>
          <w:sz w:val="26"/>
          <w:szCs w:val="26"/>
          <w:rtl/>
          <w:lang w:bidi="he-IL"/>
        </w:rPr>
        <w:t>ראו</w:t>
      </w:r>
      <w:r>
        <w:rPr>
          <w:rFonts w:ascii="David" w:hAnsi="David" w:cs="Times New Roman"/>
          <w:b/>
          <w:bCs/>
          <w:sz w:val="26"/>
          <w:szCs w:val="26"/>
          <w:rtl/>
        </w:rPr>
        <w:t xml:space="preserve">: </w:t>
      </w:r>
      <w:r>
        <w:rPr>
          <w:rFonts w:ascii="David" w:hAnsi="David" w:cs="David"/>
          <w:b/>
          <w:bCs/>
          <w:sz w:val="26"/>
          <w:szCs w:val="26"/>
          <w:rtl/>
          <w:lang w:bidi="he-IL"/>
        </w:rPr>
        <w:t>דברי ההסבר לחוק</w:t>
      </w:r>
      <w:r>
        <w:rPr>
          <w:rFonts w:ascii="David" w:hAnsi="David" w:cs="Times New Roman"/>
          <w:b/>
          <w:bCs/>
          <w:sz w:val="26"/>
          <w:szCs w:val="26"/>
          <w:rtl/>
        </w:rPr>
        <w:t xml:space="preserve">, </w:t>
      </w:r>
      <w:r>
        <w:rPr>
          <w:rFonts w:ascii="David" w:hAnsi="David" w:cs="David"/>
          <w:b/>
          <w:bCs/>
          <w:sz w:val="26"/>
          <w:szCs w:val="26"/>
          <w:rtl/>
          <w:lang w:bidi="he-IL"/>
        </w:rPr>
        <w:t>שם</w:t>
      </w:r>
      <w:r>
        <w:rPr>
          <w:rFonts w:ascii="David" w:hAnsi="David" w:cs="Times New Roman"/>
          <w:b/>
          <w:bCs/>
          <w:sz w:val="26"/>
          <w:szCs w:val="26"/>
          <w:rtl/>
        </w:rPr>
        <w:t xml:space="preserve">). </w:t>
      </w:r>
      <w:r>
        <w:rPr>
          <w:rFonts w:ascii="David" w:hAnsi="David" w:cs="David"/>
          <w:b/>
          <w:bCs/>
          <w:sz w:val="26"/>
          <w:szCs w:val="26"/>
          <w:rtl/>
          <w:lang w:bidi="he-IL"/>
        </w:rPr>
        <w:t>אולם לא מן הנמנע כי שיקולים נוספים עשויים להילקח בחשבון ובהם מצבו של הנפגע לעומת מצבו של היחיד</w:t>
      </w:r>
      <w:r>
        <w:rPr>
          <w:rFonts w:ascii="David" w:hAnsi="David" w:cs="Times New Roman"/>
          <w:b/>
          <w:bCs/>
          <w:sz w:val="26"/>
          <w:szCs w:val="26"/>
          <w:rtl/>
        </w:rPr>
        <w:t xml:space="preserve">, </w:t>
      </w:r>
      <w:r>
        <w:rPr>
          <w:rFonts w:ascii="David" w:hAnsi="David" w:cs="David"/>
          <w:b/>
          <w:bCs/>
          <w:sz w:val="26"/>
          <w:szCs w:val="26"/>
          <w:rtl/>
          <w:lang w:bidi="he-IL"/>
        </w:rPr>
        <w:t xml:space="preserve">היקף הפגיעה ביתר הנושים ואורכו של פרק הזמן שחלף מביצוע העבירה </w:t>
      </w:r>
      <w:r>
        <w:rPr>
          <w:rFonts w:ascii="David" w:hAnsi="David" w:cs="Times New Roman"/>
          <w:b/>
          <w:bCs/>
          <w:sz w:val="26"/>
          <w:szCs w:val="26"/>
          <w:rtl/>
        </w:rPr>
        <w:t>(</w:t>
      </w:r>
      <w:r>
        <w:rPr>
          <w:rFonts w:ascii="David" w:hAnsi="David" w:cs="David"/>
          <w:b/>
          <w:bCs/>
          <w:sz w:val="26"/>
          <w:szCs w:val="26"/>
          <w:rtl/>
          <w:lang w:bidi="he-IL"/>
        </w:rPr>
        <w:t xml:space="preserve">עודד מאור ואסף דגני הפטר </w:t>
      </w:r>
      <w:r>
        <w:rPr>
          <w:rFonts w:ascii="David" w:hAnsi="David" w:cs="Times New Roman"/>
          <w:b/>
          <w:bCs/>
          <w:sz w:val="26"/>
          <w:szCs w:val="26"/>
          <w:rtl/>
        </w:rPr>
        <w:t xml:space="preserve">– </w:t>
      </w:r>
      <w:r>
        <w:rPr>
          <w:rFonts w:ascii="David" w:hAnsi="David" w:cs="David"/>
          <w:b/>
          <w:bCs/>
          <w:sz w:val="26"/>
          <w:szCs w:val="26"/>
          <w:rtl/>
          <w:lang w:bidi="he-IL"/>
        </w:rPr>
        <w:t>חדלות פירעון</w:t>
      </w:r>
      <w:r>
        <w:rPr>
          <w:rFonts w:ascii="David" w:hAnsi="David" w:cs="Times New Roman"/>
          <w:b/>
          <w:bCs/>
          <w:sz w:val="26"/>
          <w:szCs w:val="26"/>
          <w:rtl/>
        </w:rPr>
        <w:t xml:space="preserve">, </w:t>
      </w:r>
      <w:r>
        <w:rPr>
          <w:rFonts w:ascii="David" w:hAnsi="David" w:cs="David"/>
          <w:b/>
          <w:bCs/>
          <w:sz w:val="26"/>
          <w:szCs w:val="26"/>
          <w:rtl/>
          <w:lang w:bidi="he-IL"/>
        </w:rPr>
        <w:t xml:space="preserve">הסדרי חוב ושיקום כלכלי של יחידים </w:t>
      </w:r>
      <w:r>
        <w:rPr>
          <w:rFonts w:ascii="David" w:hAnsi="David" w:cs="Times New Roman"/>
          <w:b/>
          <w:bCs/>
          <w:sz w:val="26"/>
          <w:szCs w:val="26"/>
          <w:rtl/>
        </w:rPr>
        <w:t>355, 357 (2019) (</w:t>
      </w:r>
      <w:r>
        <w:rPr>
          <w:rFonts w:ascii="David" w:hAnsi="David" w:cs="David"/>
          <w:b/>
          <w:bCs/>
          <w:sz w:val="26"/>
          <w:szCs w:val="26"/>
          <w:rtl/>
          <w:lang w:bidi="he-IL"/>
        </w:rPr>
        <w:t>להלן</w:t>
      </w:r>
      <w:r>
        <w:rPr>
          <w:rFonts w:ascii="David" w:hAnsi="David" w:cs="Times New Roman"/>
          <w:b/>
          <w:bCs/>
          <w:sz w:val="26"/>
          <w:szCs w:val="26"/>
          <w:rtl/>
        </w:rPr>
        <w:t xml:space="preserve">: </w:t>
      </w:r>
      <w:r>
        <w:rPr>
          <w:rFonts w:ascii="David" w:hAnsi="David" w:cs="David"/>
          <w:b/>
          <w:bCs/>
          <w:sz w:val="26"/>
          <w:szCs w:val="26"/>
          <w:rtl/>
          <w:lang w:bidi="he-IL"/>
        </w:rPr>
        <w:t>מאור ודגני</w:t>
      </w:r>
      <w:r>
        <w:rPr>
          <w:rFonts w:ascii="David" w:hAnsi="David" w:cs="Times New Roman"/>
          <w:b/>
          <w:bCs/>
          <w:sz w:val="26"/>
          <w:szCs w:val="26"/>
          <w:rtl/>
        </w:rPr>
        <w:t xml:space="preserve">)). </w:t>
      </w:r>
      <w:r>
        <w:rPr>
          <w:rFonts w:ascii="David" w:hAnsi="David" w:cs="David"/>
          <w:b/>
          <w:bCs/>
          <w:sz w:val="26"/>
          <w:szCs w:val="26"/>
          <w:rtl/>
          <w:lang w:bidi="he-IL"/>
        </w:rPr>
        <w:t>ודוק</w:t>
      </w:r>
      <w:r>
        <w:rPr>
          <w:rFonts w:ascii="David" w:hAnsi="David" w:cs="Times New Roman"/>
          <w:b/>
          <w:bCs/>
          <w:sz w:val="26"/>
          <w:szCs w:val="26"/>
          <w:rtl/>
        </w:rPr>
        <w:t xml:space="preserve">: </w:t>
      </w:r>
      <w:r>
        <w:rPr>
          <w:rFonts w:ascii="David" w:hAnsi="David" w:cs="David"/>
          <w:b/>
          <w:bCs/>
          <w:sz w:val="26"/>
          <w:szCs w:val="26"/>
          <w:rtl/>
          <w:lang w:bidi="he-IL"/>
        </w:rPr>
        <w:t>גם על פי ההסדר החדש</w:t>
      </w:r>
      <w:r>
        <w:rPr>
          <w:rFonts w:ascii="David" w:hAnsi="David" w:cs="Times New Roman"/>
          <w:b/>
          <w:bCs/>
          <w:sz w:val="26"/>
          <w:szCs w:val="26"/>
          <w:rtl/>
        </w:rPr>
        <w:t xml:space="preserve">, </w:t>
      </w:r>
      <w:r>
        <w:rPr>
          <w:rFonts w:ascii="David" w:hAnsi="David" w:cs="David"/>
          <w:b/>
          <w:bCs/>
          <w:sz w:val="26"/>
          <w:szCs w:val="26"/>
          <w:rtl/>
          <w:lang w:bidi="he-IL"/>
        </w:rPr>
        <w:t>אם חוב הפיצויים לנפגע העבירה נוצר בדרך של מרמה או נובע מעבירות גניבה</w:t>
      </w:r>
      <w:r>
        <w:rPr>
          <w:rFonts w:ascii="David" w:hAnsi="David" w:cs="Times New Roman"/>
          <w:b/>
          <w:bCs/>
          <w:sz w:val="26"/>
          <w:szCs w:val="26"/>
          <w:rtl/>
        </w:rPr>
        <w:t xml:space="preserve">, </w:t>
      </w:r>
      <w:r>
        <w:rPr>
          <w:rFonts w:ascii="David" w:hAnsi="David" w:cs="David"/>
          <w:b/>
          <w:bCs/>
          <w:sz w:val="26"/>
          <w:szCs w:val="26"/>
          <w:rtl/>
          <w:lang w:bidi="he-IL"/>
        </w:rPr>
        <w:t xml:space="preserve">מין או אלימות חמורה </w:t>
      </w:r>
      <w:r>
        <w:rPr>
          <w:rFonts w:ascii="David" w:hAnsi="David" w:cs="Times New Roman"/>
          <w:b/>
          <w:bCs/>
          <w:sz w:val="26"/>
          <w:szCs w:val="26"/>
          <w:rtl/>
        </w:rPr>
        <w:t xml:space="preserve">– </w:t>
      </w:r>
      <w:r>
        <w:rPr>
          <w:rFonts w:ascii="David" w:hAnsi="David" w:cs="David"/>
          <w:b/>
          <w:bCs/>
          <w:sz w:val="26"/>
          <w:szCs w:val="26"/>
          <w:rtl/>
          <w:lang w:bidi="he-IL"/>
        </w:rPr>
        <w:t xml:space="preserve">הרי שההפטר לא יחול עליו וזאת באופן גורף וללא סייגים </w:t>
      </w:r>
      <w:r>
        <w:rPr>
          <w:rFonts w:ascii="David" w:hAnsi="David" w:cs="Times New Roman"/>
          <w:b/>
          <w:bCs/>
          <w:sz w:val="26"/>
          <w:szCs w:val="26"/>
          <w:rtl/>
        </w:rPr>
        <w:t>(</w:t>
      </w:r>
      <w:r>
        <w:rPr>
          <w:rFonts w:ascii="David" w:hAnsi="David" w:cs="David"/>
          <w:b/>
          <w:bCs/>
          <w:sz w:val="26"/>
          <w:szCs w:val="26"/>
          <w:rtl/>
          <w:lang w:bidi="he-IL"/>
        </w:rPr>
        <w:t>ראו</w:t>
      </w:r>
      <w:r>
        <w:rPr>
          <w:rFonts w:ascii="David" w:hAnsi="David" w:cs="Times New Roman"/>
          <w:b/>
          <w:bCs/>
          <w:sz w:val="26"/>
          <w:szCs w:val="26"/>
          <w:rtl/>
        </w:rPr>
        <w:t xml:space="preserve">: </w:t>
      </w:r>
      <w:r>
        <w:rPr>
          <w:rFonts w:ascii="David" w:hAnsi="David" w:cs="David"/>
          <w:b/>
          <w:bCs/>
          <w:sz w:val="26"/>
          <w:szCs w:val="26"/>
          <w:rtl/>
          <w:lang w:bidi="he-IL"/>
        </w:rPr>
        <w:t xml:space="preserve">סעיף </w:t>
      </w:r>
      <w:r>
        <w:rPr>
          <w:rFonts w:ascii="David" w:hAnsi="David" w:cs="Times New Roman"/>
          <w:b/>
          <w:bCs/>
          <w:sz w:val="26"/>
          <w:szCs w:val="26"/>
          <w:rtl/>
        </w:rPr>
        <w:t>175(</w:t>
      </w:r>
      <w:r>
        <w:rPr>
          <w:rFonts w:ascii="David" w:hAnsi="David" w:cs="David"/>
          <w:b/>
          <w:bCs/>
          <w:sz w:val="26"/>
          <w:szCs w:val="26"/>
          <w:rtl/>
          <w:lang w:bidi="he-IL"/>
        </w:rPr>
        <w:t>א</w:t>
      </w:r>
      <w:r>
        <w:rPr>
          <w:rFonts w:ascii="David" w:hAnsi="David" w:cs="Times New Roman"/>
          <w:b/>
          <w:bCs/>
          <w:sz w:val="26"/>
          <w:szCs w:val="26"/>
          <w:rtl/>
        </w:rPr>
        <w:t xml:space="preserve">)(2) </w:t>
      </w:r>
      <w:r>
        <w:rPr>
          <w:rFonts w:ascii="David" w:hAnsi="David" w:cs="David"/>
          <w:b/>
          <w:bCs/>
          <w:sz w:val="26"/>
          <w:szCs w:val="26"/>
          <w:rtl/>
          <w:lang w:bidi="he-IL"/>
        </w:rPr>
        <w:t>לחוק</w:t>
      </w:r>
      <w:r>
        <w:rPr>
          <w:rFonts w:ascii="David" w:hAnsi="David" w:cs="Times New Roman"/>
          <w:b/>
          <w:bCs/>
          <w:sz w:val="26"/>
          <w:szCs w:val="26"/>
          <w:rtl/>
        </w:rPr>
        <w:t xml:space="preserve">; </w:t>
      </w:r>
      <w:r>
        <w:rPr>
          <w:rFonts w:ascii="David" w:hAnsi="David" w:cs="David"/>
          <w:b/>
          <w:bCs/>
          <w:sz w:val="26"/>
          <w:szCs w:val="26"/>
          <w:rtl/>
          <w:lang w:bidi="he-IL"/>
        </w:rPr>
        <w:t>דברי ההסבר לחוק</w:t>
      </w:r>
      <w:r>
        <w:rPr>
          <w:rFonts w:ascii="David" w:hAnsi="David" w:cs="Times New Roman"/>
          <w:b/>
          <w:bCs/>
          <w:sz w:val="26"/>
          <w:szCs w:val="26"/>
          <w:rtl/>
        </w:rPr>
        <w:t xml:space="preserve">, </w:t>
      </w:r>
      <w:r>
        <w:rPr>
          <w:rFonts w:ascii="David" w:hAnsi="David" w:cs="David"/>
          <w:b/>
          <w:bCs/>
          <w:sz w:val="26"/>
          <w:szCs w:val="26"/>
          <w:rtl/>
          <w:lang w:bidi="he-IL"/>
        </w:rPr>
        <w:t>שם</w:t>
      </w:r>
      <w:r>
        <w:rPr>
          <w:rFonts w:ascii="David" w:hAnsi="David" w:cs="Times New Roman"/>
          <w:b/>
          <w:bCs/>
          <w:sz w:val="26"/>
          <w:szCs w:val="26"/>
          <w:rtl/>
        </w:rPr>
        <w:t xml:space="preserve">; </w:t>
      </w:r>
      <w:r>
        <w:rPr>
          <w:rFonts w:ascii="David" w:hAnsi="David" w:cs="David"/>
          <w:b/>
          <w:bCs/>
          <w:sz w:val="26"/>
          <w:szCs w:val="26"/>
          <w:rtl/>
          <w:lang w:bidi="he-IL"/>
        </w:rPr>
        <w:t>מאור ודגני</w:t>
      </w:r>
      <w:r>
        <w:rPr>
          <w:rFonts w:ascii="David" w:hAnsi="David" w:cs="Times New Roman"/>
          <w:b/>
          <w:bCs/>
          <w:sz w:val="26"/>
          <w:szCs w:val="26"/>
          <w:rtl/>
        </w:rPr>
        <w:t xml:space="preserve">, 355 </w:t>
      </w:r>
      <w:r>
        <w:rPr>
          <w:rFonts w:ascii="David" w:hAnsi="David" w:cs="David"/>
          <w:b/>
          <w:bCs/>
          <w:sz w:val="26"/>
          <w:szCs w:val="26"/>
          <w:rtl/>
          <w:lang w:bidi="he-IL"/>
        </w:rPr>
        <w:t>ו</w:t>
      </w:r>
      <w:r>
        <w:rPr>
          <w:rFonts w:ascii="David" w:hAnsi="David" w:cs="Times New Roman"/>
          <w:b/>
          <w:bCs/>
          <w:sz w:val="26"/>
          <w:szCs w:val="26"/>
          <w:rtl/>
        </w:rPr>
        <w:t>-357)</w:t>
      </w:r>
      <w:r>
        <w:rPr>
          <w:rFonts w:ascii="David" w:hAnsi="David" w:cs="David"/>
          <w:b/>
          <w:bCs/>
          <w:sz w:val="26"/>
          <w:szCs w:val="26"/>
        </w:rPr>
        <w:t>."</w:t>
      </w:r>
      <w:r>
        <w:rPr>
          <w:rFonts w:ascii="David" w:hAnsi="David" w:cs="David"/>
          <w:b/>
          <w:bCs/>
          <w:sz w:val="26"/>
          <w:szCs w:val="26"/>
          <w:rtl/>
          <w:lang w:bidi="he-IL"/>
        </w:rPr>
        <w:t xml:space="preserve">  </w:t>
      </w:r>
    </w:p>
    <w:p w:rsidR="00214F7B" w:rsidRDefault="00214F7B" w:rsidP="00214F7B">
      <w:pPr>
        <w:pStyle w:val="af1"/>
        <w:bidi/>
        <w:spacing w:after="360" w:line="360" w:lineRule="auto"/>
        <w:ind w:left="869"/>
        <w:jc w:val="both"/>
        <w:rPr>
          <w:rFonts w:ascii="David" w:hAnsi="David" w:cs="David"/>
          <w:b/>
          <w:bCs/>
          <w:sz w:val="26"/>
          <w:szCs w:val="26"/>
          <w:rtl/>
          <w:lang w:bidi="he-IL"/>
        </w:rPr>
      </w:pPr>
    </w:p>
    <w:p w:rsidR="00214F7B" w:rsidRDefault="00214F7B" w:rsidP="00214F7B">
      <w:pPr>
        <w:pStyle w:val="af1"/>
        <w:numPr>
          <w:ilvl w:val="0"/>
          <w:numId w:val="2"/>
        </w:numPr>
        <w:bidi/>
        <w:spacing w:after="360" w:line="360" w:lineRule="auto"/>
        <w:ind w:left="509"/>
        <w:jc w:val="both"/>
        <w:rPr>
          <w:rFonts w:ascii="David" w:hAnsi="David" w:cs="David"/>
          <w:bCs/>
          <w:sz w:val="26"/>
          <w:szCs w:val="26"/>
          <w:u w:val="single"/>
          <w:rtl/>
          <w:lang w:bidi="he-IL"/>
        </w:rPr>
      </w:pPr>
      <w:r>
        <w:rPr>
          <w:rFonts w:ascii="David" w:hAnsi="David" w:cs="David"/>
          <w:sz w:val="26"/>
          <w:szCs w:val="26"/>
          <w:rtl/>
          <w:lang w:bidi="he-IL"/>
        </w:rPr>
        <w:t xml:space="preserve">המסקנה העולה מכל האמור היא כי </w:t>
      </w:r>
      <w:r>
        <w:rPr>
          <w:rFonts w:ascii="David" w:hAnsi="David" w:cs="David"/>
          <w:bCs/>
          <w:sz w:val="26"/>
          <w:szCs w:val="26"/>
          <w:u w:val="single"/>
          <w:rtl/>
          <w:lang w:bidi="he-IL"/>
        </w:rPr>
        <w:t>אין מקום לדון בבקשת ההפטר בנוגע לחובות שנוצרו לחייב כתוצאה מתרמית ולפיכך, חובותיו של החייב שנזקפו לפסק דינו של בית משפט זה בע"ר 313/10 אינם ברי הפטר "באופן גורף וללא סייגים". בקשת החייב בקשר אליהם נדחית</w:t>
      </w:r>
      <w:r>
        <w:rPr>
          <w:rFonts w:ascii="David" w:hAnsi="David" w:cs="David"/>
          <w:bCs/>
          <w:sz w:val="26"/>
          <w:szCs w:val="26"/>
          <w:rtl/>
          <w:lang w:bidi="he-IL"/>
        </w:rPr>
        <w:t>.</w:t>
      </w:r>
    </w:p>
    <w:p w:rsidR="00214F7B" w:rsidRDefault="00214F7B" w:rsidP="00214F7B">
      <w:pPr>
        <w:pStyle w:val="af1"/>
        <w:bidi/>
        <w:spacing w:after="360" w:line="360" w:lineRule="auto"/>
        <w:ind w:left="509"/>
        <w:jc w:val="both"/>
        <w:rPr>
          <w:rFonts w:ascii="David" w:hAnsi="David" w:cs="David"/>
          <w:bCs/>
          <w:sz w:val="26"/>
          <w:szCs w:val="26"/>
          <w:u w:val="single"/>
          <w:lang w:bidi="he-IL"/>
        </w:rPr>
      </w:pPr>
    </w:p>
    <w:p w:rsidR="00214F7B" w:rsidRDefault="00214F7B" w:rsidP="00B525A6">
      <w:pPr>
        <w:pStyle w:val="af1"/>
        <w:numPr>
          <w:ilvl w:val="0"/>
          <w:numId w:val="2"/>
        </w:numPr>
        <w:bidi/>
        <w:spacing w:after="360" w:line="360" w:lineRule="auto"/>
        <w:ind w:left="509"/>
        <w:jc w:val="both"/>
        <w:rPr>
          <w:rFonts w:ascii="David" w:hAnsi="David" w:cs="David"/>
          <w:sz w:val="26"/>
          <w:szCs w:val="26"/>
          <w:lang w:bidi="he-IL"/>
        </w:rPr>
      </w:pPr>
      <w:r>
        <w:rPr>
          <w:rFonts w:ascii="David" w:hAnsi="David" w:cs="David"/>
          <w:sz w:val="26"/>
          <w:szCs w:val="26"/>
          <w:rtl/>
          <w:lang w:bidi="he-IL"/>
        </w:rPr>
        <w:t xml:space="preserve">למרות האמור לעיל, אין בדחיית בקשת החייב להפטר מחובותיו שנוצרו בתרמית בכדי לדחות על הסף את בקשת ההפטר, אשר תידון, ככל שהחייב יימצא לנכון </w:t>
      </w:r>
      <w:r w:rsidR="00B525A6">
        <w:rPr>
          <w:rFonts w:ascii="David" w:hAnsi="David" w:cs="David" w:hint="cs"/>
          <w:sz w:val="26"/>
          <w:szCs w:val="26"/>
          <w:rtl/>
          <w:lang w:bidi="he-IL"/>
        </w:rPr>
        <w:t xml:space="preserve">לבקש את חידוש הדיון בה </w:t>
      </w:r>
      <w:r>
        <w:rPr>
          <w:rFonts w:ascii="David" w:hAnsi="David" w:cs="David"/>
          <w:sz w:val="26"/>
          <w:szCs w:val="26"/>
          <w:rtl/>
          <w:lang w:bidi="he-IL"/>
        </w:rPr>
        <w:t xml:space="preserve">בהתאם לקביעתי הנ"ל (וראו בקשר לכך ע"א 3083/13 </w:t>
      </w:r>
      <w:r>
        <w:rPr>
          <w:rFonts w:ascii="David" w:hAnsi="David" w:cs="David"/>
          <w:bCs/>
          <w:sz w:val="26"/>
          <w:szCs w:val="26"/>
          <w:rtl/>
          <w:lang w:bidi="he-IL"/>
        </w:rPr>
        <w:t>פלונית נ' שיכמן</w:t>
      </w:r>
      <w:r>
        <w:rPr>
          <w:rFonts w:ascii="David" w:hAnsi="David" w:cs="David"/>
          <w:sz w:val="26"/>
          <w:szCs w:val="26"/>
          <w:rtl/>
          <w:lang w:bidi="he-IL"/>
        </w:rPr>
        <w:t xml:space="preserve"> (11.1.15) אליו הפנה החייב בבקשתו). אין מקום לדון בחובותיו של החייב כמקשה אחת ואין מניעה לאבחן בין החובות השונים.</w:t>
      </w:r>
    </w:p>
    <w:p w:rsidR="00214F7B" w:rsidRDefault="00214F7B" w:rsidP="00214F7B">
      <w:pPr>
        <w:spacing w:after="360" w:line="360" w:lineRule="auto"/>
        <w:jc w:val="both"/>
        <w:rPr>
          <w:rFonts w:ascii="David" w:hAnsi="David"/>
          <w:b/>
          <w:bCs/>
          <w:noProof w:val="0"/>
          <w:sz w:val="26"/>
          <w:szCs w:val="26"/>
          <w:u w:val="single"/>
          <w:rtl/>
        </w:rPr>
      </w:pPr>
      <w:r>
        <w:rPr>
          <w:rFonts w:ascii="David" w:hAnsi="David"/>
          <w:b/>
          <w:bCs/>
          <w:noProof w:val="0"/>
          <w:sz w:val="26"/>
          <w:szCs w:val="26"/>
          <w:u w:val="single"/>
          <w:rtl/>
        </w:rPr>
        <w:t>תפיסת הכספים</w:t>
      </w:r>
    </w:p>
    <w:p w:rsidR="00214F7B" w:rsidRDefault="00214F7B" w:rsidP="00B525A6">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ביום 17.1.22, הוגשה בקשה מטעם המנהל המיוחד בנוגע לתפיסה של</w:t>
      </w:r>
      <w:r w:rsidR="00B525A6">
        <w:rPr>
          <w:rFonts w:ascii="David" w:hAnsi="David" w:cs="David" w:hint="cs"/>
          <w:sz w:val="26"/>
          <w:szCs w:val="26"/>
          <w:rtl/>
          <w:lang w:bidi="he-IL"/>
        </w:rPr>
        <w:t xml:space="preserve"> סכום מזומן בסך </w:t>
      </w:r>
      <w:r>
        <w:rPr>
          <w:rFonts w:ascii="David" w:hAnsi="David" w:cs="David"/>
          <w:sz w:val="26"/>
          <w:szCs w:val="26"/>
          <w:rtl/>
          <w:lang w:bidi="he-IL"/>
        </w:rPr>
        <w:t>900 אירו. לטענת המנהל המיוחד מדובר בכספים שנתפסו בביתו של החייב. לטענת המנהל המיוחד מדובר בכספים שמוחזקים במשטרת ישראל ויש להורות על העברתם לקופת פשיטת הרגל, שכן מדובר בכספים השייכים לקופה זו בהתאם להוראות החוק.</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לטענת המנהל המיוחד עולה מדוחותיו החודשיים של החייב כי הוא מצוי בגירעון מתמשך ולכן לא ברור מקור הכספים. בדוחות אלה באים לידי ביטוי גם הכנסותיה של הרעיה. לפיכך, </w:t>
      </w:r>
      <w:r w:rsidR="00B525A6">
        <w:rPr>
          <w:rFonts w:ascii="David" w:hAnsi="David" w:cs="David" w:hint="cs"/>
          <w:sz w:val="26"/>
          <w:szCs w:val="26"/>
          <w:rtl/>
          <w:lang w:bidi="he-IL"/>
        </w:rPr>
        <w:t xml:space="preserve">נטען כי </w:t>
      </w:r>
      <w:r>
        <w:rPr>
          <w:rFonts w:ascii="David" w:hAnsi="David" w:cs="David"/>
          <w:sz w:val="26"/>
          <w:szCs w:val="26"/>
          <w:rtl/>
          <w:lang w:bidi="he-IL"/>
        </w:rPr>
        <w:t>יש מקום להורות על העברת הכספים לקופת פשיטת הרגל (וראו בקשר לכך פרוטוקול, ע' 239, ש' 27-16) .</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4A0F19">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ביום 24.1.22 הגיש החייב את תגובתו. לטענתו מדובר בכספים השייכים לרעייתו, אשר נשארו ברשותה לאחר נסיעה שלה לחו"ל בחודש נובמבר 2021</w:t>
      </w:r>
      <w:r w:rsidR="004A0F19">
        <w:rPr>
          <w:rFonts w:ascii="David" w:hAnsi="David" w:cs="David" w:hint="cs"/>
          <w:sz w:val="26"/>
          <w:szCs w:val="26"/>
          <w:rtl/>
          <w:lang w:bidi="he-IL"/>
        </w:rPr>
        <w:t>,</w:t>
      </w:r>
      <w:r>
        <w:rPr>
          <w:rFonts w:ascii="David" w:hAnsi="David" w:cs="David"/>
          <w:sz w:val="26"/>
          <w:szCs w:val="26"/>
          <w:rtl/>
          <w:lang w:bidi="he-IL"/>
        </w:rPr>
        <w:t xml:space="preserve"> כאשר 800 אירו נתפסו בארון הבגדים שלה ו-100 אירו נתפסו בארנקה. לטענת החייב מדובר ברדיפה של ממש כאשר אין לרעייתו כל חובת דיווח וכי לא ברורה האבחנה שביצעו חוקרי המשטרה בין השקלים שהיו ברשות רעייתו</w:t>
      </w:r>
      <w:r w:rsidR="004A0F19">
        <w:rPr>
          <w:rFonts w:ascii="David" w:hAnsi="David" w:cs="David" w:hint="cs"/>
          <w:sz w:val="26"/>
          <w:szCs w:val="26"/>
          <w:rtl/>
          <w:lang w:bidi="he-IL"/>
        </w:rPr>
        <w:t xml:space="preserve"> ולא נתפסו</w:t>
      </w:r>
      <w:r>
        <w:rPr>
          <w:rFonts w:ascii="David" w:hAnsi="David" w:cs="David"/>
          <w:sz w:val="26"/>
          <w:szCs w:val="26"/>
          <w:rtl/>
          <w:lang w:bidi="he-IL"/>
        </w:rPr>
        <w:t xml:space="preserve"> לבין המטבע הזר. לטענת החייב מדובר בכספים אותם הרוויחה רעייתו במסגרת עבודתה ולא הוכח כי יש לו קשר כלשהו לכספים אלו. עוד טען החייב כי המנהל המיוחד לא הצביע על המקור החוקי המקנה לו את הזכות להחרים את הכספים ולהעברתם לקופת ה</w:t>
      </w:r>
      <w:r w:rsidR="004A0F19">
        <w:rPr>
          <w:rFonts w:ascii="David" w:hAnsi="David" w:cs="David" w:hint="cs"/>
          <w:sz w:val="26"/>
          <w:szCs w:val="26"/>
          <w:rtl/>
          <w:lang w:bidi="he-IL"/>
        </w:rPr>
        <w:t>פש"ר</w:t>
      </w:r>
      <w:r>
        <w:rPr>
          <w:rFonts w:ascii="David" w:hAnsi="David" w:cs="David"/>
          <w:sz w:val="26"/>
          <w:szCs w:val="26"/>
          <w:rtl/>
          <w:lang w:bidi="he-IL"/>
        </w:rPr>
        <w:t xml:space="preserve"> וכי סעיף 108 לפקודה אינו המקור החוקי המתאים בנסיבות העניין.</w:t>
      </w:r>
    </w:p>
    <w:p w:rsidR="00214F7B" w:rsidRDefault="00214F7B" w:rsidP="00214F7B">
      <w:pPr>
        <w:pStyle w:val="af1"/>
        <w:rPr>
          <w:rFonts w:ascii="David" w:hAnsi="David" w:cs="David"/>
          <w:sz w:val="26"/>
          <w:szCs w:val="26"/>
        </w:rPr>
      </w:pPr>
    </w:p>
    <w:p w:rsidR="00214F7B" w:rsidRDefault="00214F7B" w:rsidP="004A0F19">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 xml:space="preserve">בנסיבות העניין מצאתי לקבל את עמדת החייב </w:t>
      </w:r>
      <w:r w:rsidR="004A0F19">
        <w:rPr>
          <w:rFonts w:ascii="David" w:hAnsi="David" w:cs="David" w:hint="cs"/>
          <w:sz w:val="26"/>
          <w:szCs w:val="26"/>
          <w:rtl/>
          <w:lang w:bidi="he-IL"/>
        </w:rPr>
        <w:t>ב</w:t>
      </w:r>
      <w:r>
        <w:rPr>
          <w:rFonts w:ascii="David" w:hAnsi="David" w:cs="David"/>
          <w:sz w:val="26"/>
          <w:szCs w:val="26"/>
          <w:rtl/>
          <w:lang w:bidi="he-IL"/>
        </w:rPr>
        <w:t>נוגע לכספים שנתפסו. מדובר בכספים שנטען שנתפסו בארנקה וארונה של הגב' יונה. המנהל המיוחד לא הראה פרטים לגבי מקום התפיסה ושייכות של הכספים לחייב. אין מקור חוקי האוסר על הרעיה, שאינה נמצאת בהליכי פשיטת רגל, להחזיק כספים אות</w:t>
      </w:r>
      <w:r w:rsidR="004A0F19">
        <w:rPr>
          <w:rFonts w:ascii="David" w:hAnsi="David" w:cs="David" w:hint="cs"/>
          <w:sz w:val="26"/>
          <w:szCs w:val="26"/>
          <w:rtl/>
          <w:lang w:bidi="he-IL"/>
        </w:rPr>
        <w:t>ם</w:t>
      </w:r>
      <w:r>
        <w:rPr>
          <w:rFonts w:ascii="David" w:hAnsi="David" w:cs="David"/>
          <w:sz w:val="26"/>
          <w:szCs w:val="26"/>
          <w:rtl/>
          <w:lang w:bidi="he-IL"/>
        </w:rPr>
        <w:t xml:space="preserve"> היא מרוויחה במסגרת עבודה ולא הוכח – בנוגע לכספים אלה – כי החייב קשור אליהם בדרך כלשהי.</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4A0F19">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במקרים שכאלה יש מקום לערוך איזון בין הצורך לוודא כי כלל פוטנציאל הכספים של החייב מגיעים לקופת ה</w:t>
      </w:r>
      <w:r w:rsidR="004A0F19">
        <w:rPr>
          <w:rFonts w:ascii="David" w:hAnsi="David" w:cs="David" w:hint="cs"/>
          <w:sz w:val="26"/>
          <w:szCs w:val="26"/>
          <w:rtl/>
          <w:lang w:bidi="he-IL"/>
        </w:rPr>
        <w:t>פש"ר</w:t>
      </w:r>
      <w:r>
        <w:rPr>
          <w:rFonts w:ascii="David" w:hAnsi="David" w:cs="David"/>
          <w:sz w:val="26"/>
          <w:szCs w:val="26"/>
          <w:rtl/>
          <w:lang w:bidi="he-IL"/>
        </w:rPr>
        <w:t xml:space="preserve"> ומאידך, זכויותיה של רעייתו של החייב לנהל את חייה באופן סביר וראוי.</w:t>
      </w:r>
    </w:p>
    <w:p w:rsidR="00214F7B" w:rsidRDefault="00214F7B" w:rsidP="00214F7B">
      <w:pPr>
        <w:pStyle w:val="af1"/>
        <w:rPr>
          <w:rFonts w:ascii="David" w:hAnsi="David" w:cs="David"/>
          <w:sz w:val="26"/>
          <w:szCs w:val="26"/>
        </w:rPr>
      </w:pPr>
    </w:p>
    <w:p w:rsidR="00214F7B" w:rsidRDefault="00214F7B" w:rsidP="004A0F19">
      <w:pPr>
        <w:pStyle w:val="af1"/>
        <w:numPr>
          <w:ilvl w:val="0"/>
          <w:numId w:val="2"/>
        </w:numPr>
        <w:bidi/>
        <w:spacing w:after="360" w:line="360" w:lineRule="auto"/>
        <w:ind w:left="509"/>
        <w:jc w:val="both"/>
        <w:rPr>
          <w:rFonts w:ascii="David" w:hAnsi="David" w:cs="David"/>
          <w:sz w:val="26"/>
          <w:szCs w:val="26"/>
          <w:rtl/>
        </w:rPr>
      </w:pPr>
      <w:r>
        <w:rPr>
          <w:rFonts w:ascii="David" w:hAnsi="David" w:cs="David"/>
          <w:sz w:val="26"/>
          <w:szCs w:val="26"/>
          <w:rtl/>
          <w:lang w:bidi="he-IL"/>
        </w:rPr>
        <w:t xml:space="preserve">כאמור, לא מצאתי כי בנסיבות העניין דנן, יש עדיפות לגרסת המנהל המיוחד כי מדובר בכספים שהסתיר החייב אצל רעייתו, ומאידך, מקובלת עלי עמדת החייב כי בנסיבות העניין, מדובר בסכום נמוך, </w:t>
      </w:r>
      <w:r w:rsidR="004A0F19">
        <w:rPr>
          <w:rFonts w:ascii="David" w:hAnsi="David" w:cs="David" w:hint="cs"/>
          <w:sz w:val="26"/>
          <w:szCs w:val="26"/>
          <w:rtl/>
          <w:lang w:bidi="he-IL"/>
        </w:rPr>
        <w:t>שנחזה כ</w:t>
      </w:r>
      <w:r>
        <w:rPr>
          <w:rFonts w:ascii="David" w:hAnsi="David" w:cs="David"/>
          <w:sz w:val="26"/>
          <w:szCs w:val="26"/>
          <w:rtl/>
          <w:lang w:bidi="he-IL"/>
        </w:rPr>
        <w:t>שייך לרעייתו וכי לא היה מקום לתפוס את הכספים ולשייכם לקופת ה</w:t>
      </w:r>
      <w:r w:rsidR="004A0F19">
        <w:rPr>
          <w:rFonts w:ascii="David" w:hAnsi="David" w:cs="David" w:hint="cs"/>
          <w:sz w:val="26"/>
          <w:szCs w:val="26"/>
          <w:rtl/>
          <w:lang w:bidi="he-IL"/>
        </w:rPr>
        <w:t>פש"ר</w:t>
      </w:r>
      <w:r>
        <w:rPr>
          <w:rFonts w:ascii="David" w:hAnsi="David" w:cs="David"/>
          <w:sz w:val="26"/>
          <w:szCs w:val="26"/>
          <w:rtl/>
          <w:lang w:bidi="he-IL"/>
        </w:rPr>
        <w:t>.</w:t>
      </w:r>
    </w:p>
    <w:p w:rsidR="00214F7B" w:rsidRDefault="00214F7B" w:rsidP="00214F7B">
      <w:pPr>
        <w:pStyle w:val="af1"/>
        <w:bidi/>
        <w:spacing w:after="360" w:line="360" w:lineRule="auto"/>
        <w:ind w:left="509"/>
        <w:jc w:val="both"/>
        <w:rPr>
          <w:rFonts w:ascii="David" w:hAnsi="David" w:cs="David"/>
          <w:sz w:val="26"/>
          <w:szCs w:val="26"/>
        </w:rPr>
      </w:pPr>
    </w:p>
    <w:p w:rsidR="00214F7B" w:rsidRDefault="00214F7B" w:rsidP="0047782E">
      <w:pPr>
        <w:pStyle w:val="af1"/>
        <w:numPr>
          <w:ilvl w:val="0"/>
          <w:numId w:val="2"/>
        </w:numPr>
        <w:bidi/>
        <w:spacing w:after="360" w:line="360" w:lineRule="auto"/>
        <w:ind w:left="509"/>
        <w:jc w:val="both"/>
        <w:rPr>
          <w:rFonts w:ascii="David" w:hAnsi="David" w:cs="David"/>
          <w:sz w:val="26"/>
          <w:szCs w:val="26"/>
        </w:rPr>
      </w:pPr>
      <w:r>
        <w:rPr>
          <w:rFonts w:ascii="David" w:hAnsi="David" w:cs="David"/>
          <w:sz w:val="26"/>
          <w:szCs w:val="26"/>
          <w:rtl/>
          <w:lang w:bidi="he-IL"/>
        </w:rPr>
        <w:t xml:space="preserve">לאור האמור, </w:t>
      </w:r>
      <w:r w:rsidRPr="0047782E">
        <w:rPr>
          <w:rFonts w:ascii="David" w:hAnsi="David" w:cs="David"/>
          <w:b/>
          <w:bCs/>
          <w:sz w:val="26"/>
          <w:szCs w:val="26"/>
          <w:u w:val="single"/>
          <w:rtl/>
          <w:lang w:bidi="he-IL"/>
        </w:rPr>
        <w:t xml:space="preserve">אני </w:t>
      </w:r>
      <w:r w:rsidR="004A0F19" w:rsidRPr="0047782E">
        <w:rPr>
          <w:rFonts w:ascii="David" w:hAnsi="David" w:cs="David" w:hint="cs"/>
          <w:b/>
          <w:bCs/>
          <w:sz w:val="26"/>
          <w:szCs w:val="26"/>
          <w:u w:val="single"/>
          <w:rtl/>
          <w:lang w:bidi="he-IL"/>
        </w:rPr>
        <w:t>דוחה את בקשת ה</w:t>
      </w:r>
      <w:r w:rsidRPr="0047782E">
        <w:rPr>
          <w:rFonts w:ascii="David" w:hAnsi="David" w:cs="David"/>
          <w:b/>
          <w:bCs/>
          <w:sz w:val="26"/>
          <w:szCs w:val="26"/>
          <w:u w:val="single"/>
          <w:rtl/>
          <w:lang w:bidi="he-IL"/>
        </w:rPr>
        <w:t xml:space="preserve">מנהל המיוחד </w:t>
      </w:r>
      <w:r w:rsidR="00FD0CAA" w:rsidRPr="0047782E">
        <w:rPr>
          <w:rFonts w:ascii="David" w:hAnsi="David" w:cs="David" w:hint="cs"/>
          <w:b/>
          <w:bCs/>
          <w:sz w:val="26"/>
          <w:szCs w:val="26"/>
          <w:u w:val="single"/>
          <w:rtl/>
          <w:lang w:bidi="he-IL"/>
        </w:rPr>
        <w:t>ביחס ל</w:t>
      </w:r>
      <w:r w:rsidR="0047782E" w:rsidRPr="0047782E">
        <w:rPr>
          <w:rFonts w:ascii="David" w:hAnsi="David" w:cs="David"/>
          <w:b/>
          <w:bCs/>
          <w:sz w:val="26"/>
          <w:szCs w:val="26"/>
          <w:u w:val="single"/>
          <w:rtl/>
          <w:lang w:bidi="he-IL"/>
        </w:rPr>
        <w:t>כספים שנתפסו</w:t>
      </w:r>
      <w:r w:rsidR="0047782E" w:rsidRPr="0047782E">
        <w:rPr>
          <w:rFonts w:ascii="David" w:hAnsi="David" w:cs="David" w:hint="cs"/>
          <w:b/>
          <w:bCs/>
          <w:sz w:val="26"/>
          <w:szCs w:val="26"/>
          <w:u w:val="single"/>
          <w:rtl/>
          <w:lang w:bidi="he-IL"/>
        </w:rPr>
        <w:t xml:space="preserve"> ולא מצאתי לנכון להורות למשט</w:t>
      </w:r>
      <w:r w:rsidR="00425A78">
        <w:rPr>
          <w:rFonts w:ascii="David" w:hAnsi="David" w:cs="David" w:hint="cs"/>
          <w:b/>
          <w:bCs/>
          <w:sz w:val="26"/>
          <w:szCs w:val="26"/>
          <w:u w:val="single"/>
          <w:rtl/>
          <w:lang w:bidi="he-IL"/>
        </w:rPr>
        <w:t>ר</w:t>
      </w:r>
      <w:r w:rsidR="0047782E" w:rsidRPr="0047782E">
        <w:rPr>
          <w:rFonts w:ascii="David" w:hAnsi="David" w:cs="David" w:hint="cs"/>
          <w:b/>
          <w:bCs/>
          <w:sz w:val="26"/>
          <w:szCs w:val="26"/>
          <w:u w:val="single"/>
          <w:rtl/>
          <w:lang w:bidi="he-IL"/>
        </w:rPr>
        <w:t>ה להעבירם לקופת הפש"ר.</w:t>
      </w:r>
    </w:p>
    <w:p w:rsidR="00214F7B" w:rsidRDefault="00214F7B" w:rsidP="00214F7B">
      <w:pPr>
        <w:spacing w:after="360" w:line="360" w:lineRule="auto"/>
        <w:jc w:val="both"/>
        <w:rPr>
          <w:rFonts w:ascii="David" w:hAnsi="David"/>
          <w:b/>
          <w:bCs/>
          <w:noProof w:val="0"/>
          <w:sz w:val="26"/>
          <w:szCs w:val="26"/>
          <w:u w:val="single"/>
        </w:rPr>
      </w:pPr>
      <w:r>
        <w:rPr>
          <w:rFonts w:ascii="David" w:hAnsi="David"/>
          <w:b/>
          <w:bCs/>
          <w:noProof w:val="0"/>
          <w:sz w:val="26"/>
          <w:szCs w:val="26"/>
          <w:u w:val="single"/>
          <w:rtl/>
        </w:rPr>
        <w:t>סוף דבר</w:t>
      </w:r>
    </w:p>
    <w:p w:rsidR="00214F7B" w:rsidRDefault="00214F7B" w:rsidP="00214F7B">
      <w:pPr>
        <w:pStyle w:val="af1"/>
        <w:numPr>
          <w:ilvl w:val="0"/>
          <w:numId w:val="2"/>
        </w:numPr>
        <w:bidi/>
        <w:spacing w:after="360" w:line="360" w:lineRule="auto"/>
        <w:ind w:left="509"/>
        <w:jc w:val="both"/>
        <w:rPr>
          <w:rFonts w:ascii="David" w:hAnsi="David" w:cs="David"/>
          <w:b/>
          <w:sz w:val="26"/>
          <w:szCs w:val="26"/>
          <w:rtl/>
        </w:rPr>
      </w:pPr>
      <w:r>
        <w:rPr>
          <w:rFonts w:ascii="David" w:hAnsi="David" w:cs="David"/>
          <w:b/>
          <w:sz w:val="26"/>
          <w:szCs w:val="26"/>
          <w:rtl/>
          <w:lang w:bidi="he-IL"/>
        </w:rPr>
        <w:t>לאור כל האמור לעיל</w:t>
      </w:r>
      <w:r>
        <w:rPr>
          <w:rFonts w:ascii="David" w:hAnsi="David" w:cs="Times New Roman"/>
          <w:b/>
          <w:sz w:val="26"/>
          <w:szCs w:val="26"/>
          <w:rtl/>
        </w:rPr>
        <w:t xml:space="preserve">, </w:t>
      </w:r>
      <w:r>
        <w:rPr>
          <w:rFonts w:ascii="David" w:hAnsi="David" w:cs="David"/>
          <w:b/>
          <w:sz w:val="26"/>
          <w:szCs w:val="26"/>
          <w:rtl/>
          <w:lang w:bidi="he-IL"/>
        </w:rPr>
        <w:t>נקבע בזאת כדלקמן:</w:t>
      </w:r>
    </w:p>
    <w:p w:rsidR="00214F7B" w:rsidRDefault="00214F7B" w:rsidP="00214F7B">
      <w:pPr>
        <w:pStyle w:val="af1"/>
        <w:numPr>
          <w:ilvl w:val="0"/>
          <w:numId w:val="6"/>
        </w:numPr>
        <w:bidi/>
        <w:spacing w:after="360" w:line="360" w:lineRule="auto"/>
        <w:jc w:val="both"/>
        <w:rPr>
          <w:rFonts w:ascii="David" w:hAnsi="David" w:cs="David"/>
          <w:bCs/>
          <w:sz w:val="26"/>
          <w:szCs w:val="26"/>
          <w:u w:val="single"/>
        </w:rPr>
      </w:pPr>
      <w:r>
        <w:rPr>
          <w:rFonts w:ascii="David" w:hAnsi="David" w:cs="David"/>
          <w:bCs/>
          <w:sz w:val="26"/>
          <w:szCs w:val="26"/>
          <w:u w:val="single"/>
          <w:rtl/>
          <w:lang w:bidi="he-IL"/>
        </w:rPr>
        <w:t xml:space="preserve">הבקשה למתן הפטר בשלב זה </w:t>
      </w:r>
      <w:r w:rsidR="00850DDB">
        <w:rPr>
          <w:rFonts w:ascii="David" w:hAnsi="David" w:cs="David" w:hint="cs"/>
          <w:bCs/>
          <w:sz w:val="26"/>
          <w:szCs w:val="26"/>
          <w:u w:val="single"/>
          <w:rtl/>
          <w:lang w:bidi="he-IL"/>
        </w:rPr>
        <w:t>נדחי</w:t>
      </w:r>
      <w:r w:rsidR="00850DDB">
        <w:rPr>
          <w:rFonts w:ascii="David" w:hAnsi="David" w:cs="David" w:hint="eastAsia"/>
          <w:bCs/>
          <w:sz w:val="26"/>
          <w:szCs w:val="26"/>
          <w:u w:val="single"/>
          <w:rtl/>
          <w:lang w:bidi="he-IL"/>
        </w:rPr>
        <w:t>ת</w:t>
      </w:r>
      <w:r>
        <w:rPr>
          <w:rFonts w:ascii="David" w:hAnsi="David" w:cs="Times New Roman"/>
          <w:bCs/>
          <w:sz w:val="26"/>
          <w:szCs w:val="26"/>
          <w:rtl/>
        </w:rPr>
        <w:t>.</w:t>
      </w:r>
    </w:p>
    <w:p w:rsidR="00214F7B" w:rsidRDefault="00214F7B" w:rsidP="0047782E">
      <w:pPr>
        <w:pStyle w:val="af1"/>
        <w:numPr>
          <w:ilvl w:val="0"/>
          <w:numId w:val="6"/>
        </w:numPr>
        <w:bidi/>
        <w:spacing w:after="360" w:line="360" w:lineRule="auto"/>
        <w:jc w:val="both"/>
        <w:rPr>
          <w:rFonts w:ascii="David" w:hAnsi="David" w:cs="David"/>
          <w:bCs/>
          <w:sz w:val="26"/>
          <w:szCs w:val="26"/>
          <w:u w:val="single"/>
        </w:rPr>
      </w:pPr>
      <w:r>
        <w:rPr>
          <w:rFonts w:ascii="David" w:hAnsi="David" w:cs="David"/>
          <w:bCs/>
          <w:sz w:val="26"/>
          <w:szCs w:val="26"/>
          <w:u w:val="single"/>
          <w:rtl/>
          <w:lang w:bidi="he-IL"/>
        </w:rPr>
        <w:t xml:space="preserve">על </w:t>
      </w:r>
      <w:r w:rsidR="00661616">
        <w:rPr>
          <w:rFonts w:ascii="David" w:hAnsi="David" w:cs="David" w:hint="cs"/>
          <w:bCs/>
          <w:sz w:val="26"/>
          <w:szCs w:val="26"/>
          <w:u w:val="single"/>
          <w:rtl/>
          <w:lang w:bidi="he-IL"/>
        </w:rPr>
        <w:t xml:space="preserve">הכנ"ר להגיש הודעה מעדכנת כפי שנקבע בפסקה </w:t>
      </w:r>
      <w:r w:rsidR="0047782E">
        <w:rPr>
          <w:rFonts w:ascii="David" w:hAnsi="David" w:cs="David" w:hint="cs"/>
          <w:bCs/>
          <w:sz w:val="26"/>
          <w:szCs w:val="26"/>
          <w:u w:val="single"/>
          <w:rtl/>
          <w:lang w:bidi="he-IL"/>
        </w:rPr>
        <w:t xml:space="preserve">68 </w:t>
      </w:r>
      <w:r w:rsidR="00661616">
        <w:rPr>
          <w:rFonts w:ascii="David" w:hAnsi="David" w:cs="David" w:hint="cs"/>
          <w:bCs/>
          <w:sz w:val="26"/>
          <w:szCs w:val="26"/>
          <w:u w:val="single"/>
          <w:rtl/>
          <w:lang w:bidi="he-IL"/>
        </w:rPr>
        <w:t xml:space="preserve"> עד </w:t>
      </w:r>
      <w:r>
        <w:rPr>
          <w:rFonts w:ascii="David" w:hAnsi="David" w:cs="David"/>
          <w:bCs/>
          <w:sz w:val="26"/>
          <w:szCs w:val="26"/>
          <w:u w:val="single"/>
          <w:rtl/>
          <w:lang w:bidi="he-IL"/>
        </w:rPr>
        <w:t>ליום 1.1.23</w:t>
      </w:r>
      <w:r>
        <w:rPr>
          <w:rFonts w:ascii="David" w:hAnsi="David" w:cs="David"/>
          <w:bCs/>
          <w:sz w:val="26"/>
          <w:szCs w:val="26"/>
          <w:rtl/>
          <w:lang w:bidi="he-IL"/>
        </w:rPr>
        <w:t>.</w:t>
      </w:r>
    </w:p>
    <w:p w:rsidR="00214F7B" w:rsidRDefault="00661616" w:rsidP="0047782E">
      <w:pPr>
        <w:pStyle w:val="af1"/>
        <w:numPr>
          <w:ilvl w:val="0"/>
          <w:numId w:val="6"/>
        </w:numPr>
        <w:bidi/>
        <w:spacing w:after="360" w:line="360" w:lineRule="auto"/>
        <w:jc w:val="both"/>
        <w:rPr>
          <w:rFonts w:ascii="David" w:hAnsi="David" w:cs="David"/>
          <w:bCs/>
          <w:sz w:val="26"/>
          <w:szCs w:val="26"/>
          <w:u w:val="single"/>
        </w:rPr>
      </w:pPr>
      <w:r>
        <w:rPr>
          <w:rFonts w:ascii="David" w:hAnsi="David" w:cs="David" w:hint="cs"/>
          <w:bCs/>
          <w:sz w:val="26"/>
          <w:szCs w:val="26"/>
          <w:u w:val="single"/>
          <w:rtl/>
          <w:lang w:bidi="he-IL"/>
        </w:rPr>
        <w:t xml:space="preserve">החייב יוכל </w:t>
      </w:r>
      <w:r w:rsidR="00214F7B">
        <w:rPr>
          <w:rFonts w:ascii="David" w:hAnsi="David" w:cs="David"/>
          <w:bCs/>
          <w:sz w:val="26"/>
          <w:szCs w:val="26"/>
          <w:u w:val="single"/>
          <w:rtl/>
          <w:lang w:bidi="he-IL"/>
        </w:rPr>
        <w:t xml:space="preserve">להגיש בקשה </w:t>
      </w:r>
      <w:r>
        <w:rPr>
          <w:rFonts w:ascii="David" w:hAnsi="David" w:cs="David" w:hint="cs"/>
          <w:bCs/>
          <w:sz w:val="26"/>
          <w:szCs w:val="26"/>
          <w:u w:val="single"/>
          <w:rtl/>
          <w:lang w:bidi="he-IL"/>
        </w:rPr>
        <w:t xml:space="preserve">לחידוש בקשת </w:t>
      </w:r>
      <w:r w:rsidR="00850DDB">
        <w:rPr>
          <w:rFonts w:ascii="David" w:hAnsi="David" w:cs="David" w:hint="cs"/>
          <w:bCs/>
          <w:sz w:val="26"/>
          <w:szCs w:val="26"/>
          <w:u w:val="single"/>
          <w:rtl/>
          <w:lang w:bidi="he-IL"/>
        </w:rPr>
        <w:t>ה</w:t>
      </w:r>
      <w:r w:rsidR="0047782E">
        <w:rPr>
          <w:rFonts w:ascii="David" w:hAnsi="David" w:cs="David"/>
          <w:bCs/>
          <w:sz w:val="26"/>
          <w:szCs w:val="26"/>
          <w:u w:val="single"/>
          <w:rtl/>
          <w:lang w:bidi="he-IL"/>
        </w:rPr>
        <w:t xml:space="preserve">הפטר </w:t>
      </w:r>
      <w:r w:rsidR="0047782E">
        <w:rPr>
          <w:rFonts w:ascii="David" w:hAnsi="David" w:cs="David" w:hint="cs"/>
          <w:bCs/>
          <w:sz w:val="26"/>
          <w:szCs w:val="26"/>
          <w:u w:val="single"/>
          <w:rtl/>
          <w:lang w:bidi="he-IL"/>
        </w:rPr>
        <w:t>על פי</w:t>
      </w:r>
      <w:r w:rsidR="0047782E">
        <w:rPr>
          <w:rFonts w:ascii="David" w:hAnsi="David" w:cs="David"/>
          <w:bCs/>
          <w:sz w:val="26"/>
          <w:szCs w:val="26"/>
          <w:u w:val="single"/>
          <w:rtl/>
          <w:lang w:bidi="he-IL"/>
        </w:rPr>
        <w:t xml:space="preserve"> </w:t>
      </w:r>
      <w:r w:rsidR="00214F7B">
        <w:rPr>
          <w:rFonts w:ascii="David" w:hAnsi="David" w:cs="David"/>
          <w:bCs/>
          <w:sz w:val="26"/>
          <w:szCs w:val="26"/>
          <w:u w:val="single"/>
          <w:rtl/>
          <w:lang w:bidi="he-IL"/>
        </w:rPr>
        <w:t>שיקול דעתו</w:t>
      </w:r>
      <w:r>
        <w:rPr>
          <w:rFonts w:ascii="David" w:hAnsi="David" w:cs="Times New Roman" w:hint="cs"/>
          <w:bCs/>
          <w:sz w:val="26"/>
          <w:szCs w:val="26"/>
          <w:rtl/>
          <w:lang w:bidi="he-IL"/>
        </w:rPr>
        <w:t>,</w:t>
      </w:r>
      <w:r>
        <w:rPr>
          <w:rFonts w:ascii="David" w:hAnsi="David" w:cs="David" w:hint="cs"/>
          <w:bCs/>
          <w:sz w:val="26"/>
          <w:szCs w:val="26"/>
          <w:u w:val="single"/>
          <w:rtl/>
          <w:lang w:bidi="he-IL"/>
        </w:rPr>
        <w:t xml:space="preserve"> בהתאם לקביעתי בפסקה</w:t>
      </w:r>
      <w:r w:rsidR="0047782E">
        <w:rPr>
          <w:rFonts w:ascii="David" w:hAnsi="David" w:cs="David" w:hint="cs"/>
          <w:bCs/>
          <w:sz w:val="26"/>
          <w:szCs w:val="26"/>
          <w:u w:val="single"/>
          <w:rtl/>
          <w:lang w:bidi="he-IL"/>
        </w:rPr>
        <w:t xml:space="preserve"> 68</w:t>
      </w:r>
      <w:r>
        <w:rPr>
          <w:rFonts w:ascii="David" w:hAnsi="David" w:cs="David" w:hint="cs"/>
          <w:bCs/>
          <w:sz w:val="26"/>
          <w:szCs w:val="26"/>
          <w:u w:val="single"/>
          <w:rtl/>
          <w:lang w:bidi="he-IL"/>
        </w:rPr>
        <w:t xml:space="preserve"> לעיל. </w:t>
      </w:r>
    </w:p>
    <w:p w:rsidR="00214F7B" w:rsidRDefault="00214F7B" w:rsidP="00214F7B">
      <w:pPr>
        <w:pStyle w:val="af1"/>
        <w:numPr>
          <w:ilvl w:val="0"/>
          <w:numId w:val="6"/>
        </w:numPr>
        <w:bidi/>
        <w:spacing w:after="360" w:line="360" w:lineRule="auto"/>
        <w:jc w:val="both"/>
        <w:rPr>
          <w:rFonts w:ascii="David" w:hAnsi="David" w:cs="David"/>
          <w:bCs/>
          <w:sz w:val="26"/>
          <w:szCs w:val="26"/>
          <w:u w:val="single"/>
        </w:rPr>
      </w:pPr>
      <w:r>
        <w:rPr>
          <w:rFonts w:ascii="David" w:hAnsi="David" w:cs="David"/>
          <w:bCs/>
          <w:sz w:val="26"/>
          <w:szCs w:val="26"/>
          <w:u w:val="single"/>
          <w:rtl/>
          <w:lang w:bidi="he-IL"/>
        </w:rPr>
        <w:t>אין מקום לכלול בבקשת ההפטר את החובות שנוצרו לחייב בעקבות תרמית כפי שנקבע בפסק הדין בע"ר 313/10</w:t>
      </w:r>
      <w:r>
        <w:rPr>
          <w:rFonts w:ascii="David" w:hAnsi="David" w:cs="David"/>
          <w:bCs/>
          <w:sz w:val="26"/>
          <w:szCs w:val="26"/>
          <w:rtl/>
          <w:lang w:bidi="he-IL"/>
        </w:rPr>
        <w:t>.</w:t>
      </w:r>
    </w:p>
    <w:p w:rsidR="00214F7B" w:rsidRDefault="00661616" w:rsidP="00661616">
      <w:pPr>
        <w:pStyle w:val="af1"/>
        <w:numPr>
          <w:ilvl w:val="0"/>
          <w:numId w:val="6"/>
        </w:numPr>
        <w:bidi/>
        <w:spacing w:after="360" w:line="360" w:lineRule="auto"/>
        <w:jc w:val="both"/>
        <w:rPr>
          <w:rFonts w:ascii="David" w:hAnsi="David" w:cs="David"/>
          <w:bCs/>
          <w:sz w:val="26"/>
          <w:szCs w:val="26"/>
          <w:u w:val="single"/>
        </w:rPr>
      </w:pPr>
      <w:r>
        <w:rPr>
          <w:rFonts w:ascii="David" w:hAnsi="David" w:cs="David" w:hint="cs"/>
          <w:bCs/>
          <w:sz w:val="26"/>
          <w:szCs w:val="26"/>
          <w:u w:val="single"/>
          <w:rtl/>
          <w:lang w:bidi="he-IL"/>
        </w:rPr>
        <w:t xml:space="preserve">בקשת </w:t>
      </w:r>
      <w:r w:rsidR="00214F7B">
        <w:rPr>
          <w:rFonts w:ascii="David" w:hAnsi="David" w:cs="David"/>
          <w:bCs/>
          <w:sz w:val="26"/>
          <w:szCs w:val="26"/>
          <w:u w:val="single"/>
          <w:rtl/>
          <w:lang w:bidi="he-IL"/>
        </w:rPr>
        <w:t xml:space="preserve">המנהל המיוחד </w:t>
      </w:r>
      <w:r>
        <w:rPr>
          <w:rFonts w:ascii="David" w:hAnsi="David" w:cs="David" w:hint="cs"/>
          <w:bCs/>
          <w:sz w:val="26"/>
          <w:szCs w:val="26"/>
          <w:u w:val="single"/>
          <w:rtl/>
          <w:lang w:bidi="he-IL"/>
        </w:rPr>
        <w:t xml:space="preserve">בנוגע לתפיסת המזומן אצל </w:t>
      </w:r>
      <w:r w:rsidR="00214F7B">
        <w:rPr>
          <w:rFonts w:ascii="David" w:hAnsi="David" w:cs="David"/>
          <w:bCs/>
          <w:sz w:val="26"/>
          <w:szCs w:val="26"/>
          <w:u w:val="single"/>
          <w:rtl/>
          <w:lang w:bidi="he-IL"/>
        </w:rPr>
        <w:t xml:space="preserve">גב' יונה </w:t>
      </w:r>
      <w:r>
        <w:rPr>
          <w:rFonts w:ascii="David" w:hAnsi="David" w:cs="David" w:hint="cs"/>
          <w:bCs/>
          <w:sz w:val="26"/>
          <w:szCs w:val="26"/>
          <w:u w:val="single"/>
          <w:rtl/>
          <w:lang w:bidi="he-IL"/>
        </w:rPr>
        <w:t>(</w:t>
      </w:r>
      <w:r w:rsidR="0047782E">
        <w:rPr>
          <w:rFonts w:ascii="David" w:hAnsi="David" w:cs="David" w:hint="cs"/>
          <w:bCs/>
          <w:sz w:val="26"/>
          <w:szCs w:val="26"/>
          <w:u w:val="single"/>
          <w:rtl/>
          <w:lang w:bidi="he-IL"/>
        </w:rPr>
        <w:t>ב</w:t>
      </w:r>
      <w:r w:rsidR="00214F7B">
        <w:rPr>
          <w:rFonts w:ascii="David" w:hAnsi="David" w:cs="David"/>
          <w:bCs/>
          <w:sz w:val="26"/>
          <w:szCs w:val="26"/>
          <w:u w:val="single"/>
          <w:rtl/>
          <w:lang w:bidi="he-IL"/>
        </w:rPr>
        <w:t>סך 900 אירו</w:t>
      </w:r>
      <w:r>
        <w:rPr>
          <w:rFonts w:ascii="David" w:hAnsi="David" w:cs="David" w:hint="cs"/>
          <w:bCs/>
          <w:sz w:val="26"/>
          <w:szCs w:val="26"/>
          <w:u w:val="single"/>
          <w:rtl/>
          <w:lang w:bidi="he-IL"/>
        </w:rPr>
        <w:t>)</w:t>
      </w:r>
      <w:r w:rsidR="00214F7B">
        <w:rPr>
          <w:rFonts w:ascii="David" w:hAnsi="David" w:cs="David"/>
          <w:bCs/>
          <w:sz w:val="26"/>
          <w:szCs w:val="26"/>
          <w:u w:val="single"/>
          <w:rtl/>
          <w:lang w:bidi="he-IL"/>
        </w:rPr>
        <w:t xml:space="preserve"> </w:t>
      </w:r>
      <w:r>
        <w:rPr>
          <w:rFonts w:ascii="David" w:hAnsi="David" w:cs="David" w:hint="cs"/>
          <w:bCs/>
          <w:sz w:val="26"/>
          <w:szCs w:val="26"/>
          <w:u w:val="single"/>
          <w:rtl/>
          <w:lang w:bidi="he-IL"/>
        </w:rPr>
        <w:t>נדחית</w:t>
      </w:r>
      <w:r w:rsidR="00214F7B">
        <w:rPr>
          <w:rFonts w:ascii="David" w:hAnsi="David" w:cs="David"/>
          <w:b/>
          <w:sz w:val="26"/>
          <w:szCs w:val="26"/>
          <w:rtl/>
          <w:lang w:bidi="he-IL"/>
        </w:rPr>
        <w:t>.</w:t>
      </w:r>
    </w:p>
    <w:p w:rsidR="00214F7B" w:rsidRPr="00661616" w:rsidRDefault="00214F7B" w:rsidP="00214F7B">
      <w:pPr>
        <w:pStyle w:val="af1"/>
        <w:bidi/>
        <w:spacing w:after="360" w:line="360" w:lineRule="auto"/>
        <w:ind w:left="509"/>
        <w:jc w:val="both"/>
        <w:rPr>
          <w:rFonts w:ascii="David" w:hAnsi="David"/>
          <w:sz w:val="26"/>
          <w:szCs w:val="26"/>
        </w:rPr>
      </w:pPr>
    </w:p>
    <w:p w:rsidR="00214F7B" w:rsidRDefault="00214F7B" w:rsidP="00214F7B">
      <w:pPr>
        <w:pStyle w:val="af1"/>
        <w:numPr>
          <w:ilvl w:val="0"/>
          <w:numId w:val="2"/>
        </w:numPr>
        <w:bidi/>
        <w:spacing w:after="360" w:line="360" w:lineRule="auto"/>
        <w:ind w:left="509"/>
        <w:jc w:val="both"/>
        <w:rPr>
          <w:rFonts w:ascii="David" w:hAnsi="David" w:cs="David"/>
          <w:sz w:val="26"/>
          <w:szCs w:val="26"/>
        </w:rPr>
      </w:pPr>
      <w:r>
        <w:rPr>
          <w:rFonts w:ascii="David" w:hAnsi="David" w:cs="David"/>
          <w:b/>
          <w:sz w:val="26"/>
          <w:szCs w:val="26"/>
          <w:rtl/>
          <w:lang w:bidi="he-IL"/>
        </w:rPr>
        <w:t>בנסיבות</w:t>
      </w:r>
      <w:r>
        <w:rPr>
          <w:rFonts w:ascii="David" w:hAnsi="David" w:cs="David"/>
          <w:sz w:val="26"/>
          <w:szCs w:val="26"/>
          <w:rtl/>
          <w:lang w:bidi="he-IL"/>
        </w:rPr>
        <w:t xml:space="preserve"> העניין אין צו להוצאות</w:t>
      </w:r>
      <w:r>
        <w:rPr>
          <w:rFonts w:ascii="David" w:hAnsi="David" w:cs="Times New Roman"/>
          <w:sz w:val="26"/>
          <w:szCs w:val="26"/>
          <w:rtl/>
        </w:rPr>
        <w:t xml:space="preserve">. </w:t>
      </w:r>
    </w:p>
    <w:p w:rsidR="00214F7B" w:rsidRDefault="00214F7B" w:rsidP="00661616">
      <w:pPr>
        <w:spacing w:after="360" w:line="360" w:lineRule="auto"/>
        <w:jc w:val="both"/>
        <w:rPr>
          <w:rFonts w:ascii="David" w:hAnsi="David"/>
          <w:b/>
          <w:bCs/>
          <w:noProof w:val="0"/>
          <w:sz w:val="26"/>
          <w:szCs w:val="26"/>
        </w:rPr>
      </w:pPr>
      <w:r>
        <w:rPr>
          <w:rFonts w:ascii="David" w:hAnsi="David"/>
          <w:b/>
          <w:bCs/>
          <w:noProof w:val="0"/>
          <w:sz w:val="26"/>
          <w:szCs w:val="26"/>
          <w:rtl/>
        </w:rPr>
        <w:t xml:space="preserve">המזכירות תשלח את </w:t>
      </w:r>
      <w:r w:rsidR="00661616">
        <w:rPr>
          <w:rFonts w:ascii="David" w:hAnsi="David" w:hint="cs"/>
          <w:b/>
          <w:bCs/>
          <w:noProof w:val="0"/>
          <w:sz w:val="26"/>
          <w:szCs w:val="26"/>
          <w:rtl/>
        </w:rPr>
        <w:t xml:space="preserve">ההחלטה </w:t>
      </w:r>
      <w:r>
        <w:rPr>
          <w:rFonts w:ascii="David" w:hAnsi="David"/>
          <w:b/>
          <w:bCs/>
          <w:noProof w:val="0"/>
          <w:sz w:val="26"/>
          <w:szCs w:val="26"/>
          <w:rtl/>
        </w:rPr>
        <w:t>לב"כ הצדדים.</w:t>
      </w:r>
    </w:p>
    <w:bookmarkEnd w:id="2"/>
    <w:p w:rsidR="00214F7B" w:rsidRDefault="00D95C40" w:rsidP="00D95C40">
      <w:pPr>
        <w:spacing w:line="360" w:lineRule="auto"/>
        <w:jc w:val="both"/>
        <w:rPr>
          <w:rFonts w:ascii="David" w:hAnsi="David"/>
          <w:noProof w:val="0"/>
          <w:sz w:val="26"/>
          <w:szCs w:val="26"/>
          <w:rtl/>
        </w:rPr>
      </w:pPr>
      <w:r>
        <w:rPr>
          <w:rFonts w:ascii="David" w:hAnsi="David"/>
          <w:noProof w:val="0"/>
          <w:sz w:val="26"/>
          <w:szCs w:val="26"/>
          <w:rtl/>
        </w:rPr>
        <w:t xml:space="preserve">ניתן היום, </w:t>
      </w:r>
      <w:r>
        <w:rPr>
          <w:rFonts w:ascii="David" w:hAnsi="David" w:hint="cs"/>
          <w:noProof w:val="0"/>
          <w:sz w:val="26"/>
          <w:szCs w:val="26"/>
          <w:rtl/>
        </w:rPr>
        <w:t>ה' באב</w:t>
      </w:r>
      <w:r w:rsidR="00214F7B">
        <w:rPr>
          <w:rFonts w:ascii="David" w:hAnsi="David"/>
          <w:noProof w:val="0"/>
          <w:sz w:val="26"/>
          <w:szCs w:val="26"/>
          <w:rtl/>
        </w:rPr>
        <w:t xml:space="preserve"> התשפ"ב, </w:t>
      </w:r>
      <w:r>
        <w:rPr>
          <w:rFonts w:ascii="David" w:hAnsi="David" w:hint="cs"/>
          <w:noProof w:val="0"/>
          <w:sz w:val="26"/>
          <w:szCs w:val="26"/>
          <w:rtl/>
        </w:rPr>
        <w:t>2 באוגוסט 2022</w:t>
      </w:r>
      <w:r w:rsidR="00214F7B">
        <w:rPr>
          <w:rFonts w:ascii="David" w:hAnsi="David"/>
          <w:noProof w:val="0"/>
          <w:sz w:val="26"/>
          <w:szCs w:val="26"/>
          <w:rtl/>
        </w:rPr>
        <w:t>, בהעדר הצדדים.</w:t>
      </w:r>
    </w:p>
    <w:p w:rsidR="00214F7B" w:rsidRDefault="00214F7B" w:rsidP="00214F7B">
      <w:pPr>
        <w:jc w:val="center"/>
        <w:rPr>
          <w:rFonts w:ascii="David" w:hAnsi="David"/>
          <w:noProof w:val="0"/>
          <w:sz w:val="26"/>
          <w:szCs w:val="26"/>
          <w:rtl/>
        </w:rPr>
      </w:pPr>
    </w:p>
    <w:tbl>
      <w:tblPr>
        <w:bidiVisual/>
        <w:tblW w:w="0" w:type="auto"/>
        <w:tblInd w:w="3492" w:type="dxa"/>
        <w:tblCellMar>
          <w:left w:w="0" w:type="dxa"/>
          <w:right w:w="0" w:type="dxa"/>
        </w:tblCellMar>
        <w:tblLook w:val="04A0" w:firstRow="1" w:lastRow="0" w:firstColumn="1" w:lastColumn="0" w:noHBand="0" w:noVBand="1"/>
      </w:tblPr>
      <w:tblGrid>
        <w:gridCol w:w="3708"/>
      </w:tblGrid>
      <w:tr w:rsidR="00214F7B" w:rsidTr="00214F7B">
        <w:trPr>
          <w:trHeight w:val="364"/>
        </w:trPr>
        <w:tc>
          <w:tcPr>
            <w:tcW w:w="3708" w:type="dxa"/>
            <w:tcBorders>
              <w:top w:val="nil"/>
              <w:left w:val="nil"/>
              <w:bottom w:val="single" w:sz="8" w:space="0" w:color="auto"/>
              <w:right w:val="nil"/>
            </w:tcBorders>
            <w:tcMar>
              <w:top w:w="0" w:type="dxa"/>
              <w:left w:w="108" w:type="dxa"/>
              <w:bottom w:w="0" w:type="dxa"/>
              <w:right w:w="108" w:type="dxa"/>
            </w:tcMar>
          </w:tcPr>
          <w:p w:rsidR="00214F7B" w:rsidRDefault="00214F7B">
            <w:pPr>
              <w:spacing w:line="256" w:lineRule="auto"/>
              <w:jc w:val="center"/>
              <w:rPr>
                <w:rFonts w:ascii="David" w:hAnsi="David"/>
                <w:noProof w:val="0"/>
                <w:sz w:val="26"/>
                <w:szCs w:val="26"/>
                <w:rtl/>
              </w:rPr>
            </w:pPr>
            <w:r>
              <w:rPr>
                <w:rFonts w:ascii="David" w:hAnsi="David"/>
                <w:sz w:val="26"/>
                <w:szCs w:val="26"/>
              </w:rPr>
              <w:drawing>
                <wp:inline distT="0" distB="0" distL="0" distR="0">
                  <wp:extent cx="1514475" cy="561975"/>
                  <wp:effectExtent l="0" t="0" r="9525"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4475" cy="561975"/>
                          </a:xfrm>
                          <a:prstGeom prst="rect">
                            <a:avLst/>
                          </a:prstGeom>
                          <a:noFill/>
                          <a:ln>
                            <a:noFill/>
                          </a:ln>
                        </pic:spPr>
                      </pic:pic>
                    </a:graphicData>
                  </a:graphic>
                </wp:inline>
              </w:drawing>
            </w:r>
          </w:p>
          <w:p w:rsidR="00214F7B" w:rsidRDefault="00214F7B">
            <w:pPr>
              <w:spacing w:line="256" w:lineRule="auto"/>
              <w:jc w:val="center"/>
              <w:rPr>
                <w:rFonts w:ascii="David" w:hAnsi="David"/>
                <w:noProof w:val="0"/>
                <w:sz w:val="26"/>
                <w:szCs w:val="26"/>
                <w:rtl/>
              </w:rPr>
            </w:pPr>
          </w:p>
        </w:tc>
      </w:tr>
      <w:tr w:rsidR="00214F7B" w:rsidTr="00214F7B">
        <w:trPr>
          <w:trHeight w:val="415"/>
        </w:trPr>
        <w:tc>
          <w:tcPr>
            <w:tcW w:w="3708" w:type="dxa"/>
            <w:tcMar>
              <w:top w:w="0" w:type="dxa"/>
              <w:left w:w="108" w:type="dxa"/>
              <w:bottom w:w="0" w:type="dxa"/>
              <w:right w:w="108" w:type="dxa"/>
            </w:tcMar>
            <w:hideMark/>
          </w:tcPr>
          <w:p w:rsidR="00214F7B" w:rsidRDefault="00214F7B">
            <w:pPr>
              <w:spacing w:line="256" w:lineRule="auto"/>
              <w:jc w:val="center"/>
              <w:rPr>
                <w:rFonts w:ascii="David" w:hAnsi="David"/>
                <w:b/>
                <w:bCs/>
                <w:noProof w:val="0"/>
                <w:sz w:val="26"/>
                <w:szCs w:val="26"/>
              </w:rPr>
            </w:pPr>
            <w:r>
              <w:rPr>
                <w:rFonts w:ascii="David" w:hAnsi="David"/>
                <w:b/>
                <w:bCs/>
                <w:noProof w:val="0"/>
                <w:sz w:val="26"/>
                <w:szCs w:val="26"/>
                <w:rtl/>
              </w:rPr>
              <w:t>אביגדור דורות, שופט</w:t>
            </w:r>
          </w:p>
        </w:tc>
      </w:tr>
    </w:tbl>
    <w:p w:rsidR="00694556" w:rsidRPr="00214F7B" w:rsidRDefault="00694556" w:rsidP="00425A78"/>
    <w:sectPr w:rsidR="00694556" w:rsidRPr="00214F7B"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432CE1">
      <w:rPr>
        <w:rStyle w:val="af"/>
        <w:rFonts w:cs="Times New Roman"/>
        <w:rtl/>
      </w:rPr>
      <w:t>1</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432CE1">
      <w:rPr>
        <w:rStyle w:val="af"/>
        <w:rtl/>
      </w:rPr>
      <w:t>1</w:t>
    </w:r>
    <w:r w:rsidRPr="004E6E3C">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F7B" w:rsidRDefault="00214F7B" w:rsidP="00214F7B">
    <w:pPr>
      <w:pStyle w:val="a3"/>
      <w:jc w:val="center"/>
      <w:rPr>
        <w:rFonts w:ascii="David" w:hAnsi="David"/>
        <w:sz w:val="32"/>
        <w:szCs w:val="32"/>
      </w:rPr>
    </w:pPr>
    <w:r>
      <w:rPr>
        <w:rFonts w:ascii="David" w:hAnsi="David"/>
        <w:sz w:val="32"/>
        <w:szCs w:val="32"/>
      </w:rPr>
      <w:drawing>
        <wp:inline distT="0" distB="0" distL="0" distR="0">
          <wp:extent cx="371475" cy="466725"/>
          <wp:effectExtent l="0" t="0" r="9525" b="9525"/>
          <wp:docPr id="3" name="תמונה 3"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9201" w:type="dxa"/>
      <w:jc w:val="center"/>
      <w:tblLook w:val="04A0" w:firstRow="1" w:lastRow="0" w:firstColumn="1" w:lastColumn="0" w:noHBand="0" w:noVBand="1"/>
    </w:tblPr>
    <w:tblGrid>
      <w:gridCol w:w="265"/>
      <w:gridCol w:w="4911"/>
      <w:gridCol w:w="3759"/>
      <w:gridCol w:w="266"/>
    </w:tblGrid>
    <w:tr w:rsidR="00214F7B" w:rsidTr="00326D06">
      <w:trPr>
        <w:gridBefore w:val="1"/>
        <w:wBefore w:w="265" w:type="dxa"/>
        <w:trHeight w:val="510"/>
        <w:jc w:val="center"/>
      </w:trPr>
      <w:tc>
        <w:tcPr>
          <w:tcW w:w="8936" w:type="dxa"/>
          <w:gridSpan w:val="3"/>
          <w:hideMark/>
        </w:tcPr>
        <w:p w:rsidR="00214F7B" w:rsidRDefault="00214F7B" w:rsidP="00214F7B">
          <w:pPr>
            <w:pStyle w:val="a3"/>
            <w:spacing w:line="256" w:lineRule="auto"/>
            <w:jc w:val="center"/>
            <w:rPr>
              <w:rFonts w:ascii="David" w:hAnsi="David"/>
              <w:color w:val="000080"/>
              <w:sz w:val="32"/>
              <w:szCs w:val="32"/>
            </w:rPr>
          </w:pPr>
          <w:r>
            <w:rPr>
              <w:rFonts w:ascii="David" w:hAnsi="David"/>
              <w:b/>
              <w:bCs/>
              <w:color w:val="000080"/>
              <w:sz w:val="32"/>
              <w:szCs w:val="32"/>
              <w:rtl/>
            </w:rPr>
            <w:t>בית המשפט המחוזי בירושלים</w:t>
          </w:r>
        </w:p>
        <w:p w:rsidR="00214F7B" w:rsidRDefault="00214F7B" w:rsidP="00214F7B">
          <w:pPr>
            <w:pStyle w:val="a3"/>
            <w:spacing w:line="256" w:lineRule="auto"/>
            <w:jc w:val="center"/>
            <w:rPr>
              <w:rFonts w:ascii="David" w:hAnsi="David"/>
              <w:bCs/>
              <w:color w:val="000080"/>
              <w:sz w:val="32"/>
              <w:szCs w:val="32"/>
              <w:rtl/>
            </w:rPr>
          </w:pPr>
          <w:r>
            <w:rPr>
              <w:rFonts w:ascii="David" w:hAnsi="David"/>
              <w:bCs/>
              <w:color w:val="000080"/>
              <w:sz w:val="32"/>
              <w:szCs w:val="32"/>
              <w:rtl/>
            </w:rPr>
            <w:t>לפני כב' השופט אביגדור דורות</w:t>
          </w:r>
        </w:p>
      </w:tc>
    </w:tr>
    <w:tr w:rsidR="00214F7B" w:rsidTr="00326D06">
      <w:trPr>
        <w:gridAfter w:val="1"/>
        <w:wAfter w:w="266" w:type="dxa"/>
        <w:trHeight w:val="411"/>
        <w:jc w:val="center"/>
      </w:trPr>
      <w:tc>
        <w:tcPr>
          <w:tcW w:w="5176" w:type="dxa"/>
          <w:gridSpan w:val="2"/>
        </w:tcPr>
        <w:p w:rsidR="00214F7B" w:rsidRDefault="00214F7B" w:rsidP="00214F7B">
          <w:pPr>
            <w:spacing w:line="256" w:lineRule="auto"/>
            <w:rPr>
              <w:rFonts w:ascii="David" w:hAnsi="David"/>
              <w:b/>
              <w:bCs/>
              <w:sz w:val="26"/>
              <w:szCs w:val="26"/>
              <w:rtl/>
            </w:rPr>
          </w:pPr>
        </w:p>
      </w:tc>
      <w:tc>
        <w:tcPr>
          <w:tcW w:w="3759" w:type="dxa"/>
        </w:tcPr>
        <w:p w:rsidR="00214F7B" w:rsidRDefault="00214F7B" w:rsidP="00214F7B">
          <w:pPr>
            <w:pStyle w:val="a3"/>
            <w:spacing w:line="256" w:lineRule="auto"/>
            <w:jc w:val="right"/>
            <w:rPr>
              <w:rFonts w:ascii="David" w:hAnsi="David"/>
              <w:b/>
              <w:bCs/>
              <w:sz w:val="26"/>
              <w:szCs w:val="26"/>
              <w:rtl/>
            </w:rPr>
          </w:pPr>
        </w:p>
      </w:tc>
    </w:tr>
    <w:tr w:rsidR="00214F7B" w:rsidTr="00326D06">
      <w:trPr>
        <w:gridBefore w:val="1"/>
        <w:wBefore w:w="265" w:type="dxa"/>
        <w:trHeight w:val="411"/>
        <w:jc w:val="center"/>
      </w:trPr>
      <w:tc>
        <w:tcPr>
          <w:tcW w:w="8936" w:type="dxa"/>
          <w:gridSpan w:val="3"/>
          <w:hideMark/>
        </w:tcPr>
        <w:p w:rsidR="00214F7B" w:rsidRDefault="00214F7B" w:rsidP="00326D06">
          <w:pPr>
            <w:spacing w:line="256" w:lineRule="auto"/>
            <w:rPr>
              <w:rFonts w:ascii="David" w:hAnsi="David"/>
              <w:b/>
              <w:bCs/>
              <w:sz w:val="26"/>
              <w:szCs w:val="26"/>
              <w:rtl/>
            </w:rPr>
          </w:pPr>
          <w:r>
            <w:rPr>
              <w:rFonts w:ascii="David" w:hAnsi="David"/>
              <w:b/>
              <w:bCs/>
              <w:sz w:val="26"/>
              <w:szCs w:val="26"/>
              <w:rtl/>
            </w:rPr>
            <w:t xml:space="preserve">פש"ר 4217/07 בנק לאומי לישראל נ' בועז יונה ואח'                               </w:t>
          </w:r>
          <w:r w:rsidR="00326D06">
            <w:rPr>
              <w:rFonts w:ascii="David" w:hAnsi="David" w:hint="cs"/>
              <w:b/>
              <w:bCs/>
              <w:sz w:val="26"/>
              <w:szCs w:val="26"/>
              <w:rtl/>
            </w:rPr>
            <w:t>2 באוגוסט</w:t>
          </w:r>
          <w:r>
            <w:rPr>
              <w:rFonts w:ascii="David" w:hAnsi="David"/>
              <w:b/>
              <w:bCs/>
              <w:sz w:val="26"/>
              <w:szCs w:val="26"/>
              <w:rtl/>
            </w:rPr>
            <w:t xml:space="preserve"> 2022</w:t>
          </w:r>
        </w:p>
      </w:tc>
    </w:tr>
  </w:tbl>
  <w:p w:rsidR="00214F7B" w:rsidRDefault="00214F7B" w:rsidP="00214F7B">
    <w:pPr>
      <w:pStyle w:val="a3"/>
      <w:rPr>
        <w:rFonts w:ascii="David" w:hAnsi="David"/>
        <w:sz w:val="26"/>
        <w:szCs w:val="26"/>
        <w:rtl/>
      </w:rPr>
    </w:pPr>
    <w:r>
      <w:rPr>
        <w:rFonts w:ascii="David" w:hAnsi="David"/>
        <w:sz w:val="26"/>
        <w:szCs w:val="26"/>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473DC"/>
    <w:multiLevelType w:val="hybridMultilevel"/>
    <w:tmpl w:val="2760112E"/>
    <w:lvl w:ilvl="0" w:tplc="0772F4A0">
      <w:start w:val="1"/>
      <w:numFmt w:val="hebrew1"/>
      <w:lvlText w:val="%1."/>
      <w:lvlJc w:val="left"/>
      <w:pPr>
        <w:ind w:left="869" w:hanging="360"/>
      </w:pPr>
    </w:lvl>
    <w:lvl w:ilvl="1" w:tplc="04090019">
      <w:start w:val="1"/>
      <w:numFmt w:val="lowerLetter"/>
      <w:lvlText w:val="%2."/>
      <w:lvlJc w:val="left"/>
      <w:pPr>
        <w:ind w:left="1589" w:hanging="360"/>
      </w:pPr>
    </w:lvl>
    <w:lvl w:ilvl="2" w:tplc="0409001B">
      <w:start w:val="1"/>
      <w:numFmt w:val="lowerRoman"/>
      <w:lvlText w:val="%3."/>
      <w:lvlJc w:val="right"/>
      <w:pPr>
        <w:ind w:left="2309" w:hanging="180"/>
      </w:pPr>
    </w:lvl>
    <w:lvl w:ilvl="3" w:tplc="0409000F">
      <w:start w:val="1"/>
      <w:numFmt w:val="decimal"/>
      <w:lvlText w:val="%4."/>
      <w:lvlJc w:val="left"/>
      <w:pPr>
        <w:ind w:left="3029" w:hanging="360"/>
      </w:pPr>
    </w:lvl>
    <w:lvl w:ilvl="4" w:tplc="04090019">
      <w:start w:val="1"/>
      <w:numFmt w:val="lowerLetter"/>
      <w:lvlText w:val="%5."/>
      <w:lvlJc w:val="left"/>
      <w:pPr>
        <w:ind w:left="3749" w:hanging="360"/>
      </w:pPr>
    </w:lvl>
    <w:lvl w:ilvl="5" w:tplc="0409001B">
      <w:start w:val="1"/>
      <w:numFmt w:val="lowerRoman"/>
      <w:lvlText w:val="%6."/>
      <w:lvlJc w:val="right"/>
      <w:pPr>
        <w:ind w:left="4469" w:hanging="180"/>
      </w:pPr>
    </w:lvl>
    <w:lvl w:ilvl="6" w:tplc="0409000F">
      <w:start w:val="1"/>
      <w:numFmt w:val="decimal"/>
      <w:lvlText w:val="%7."/>
      <w:lvlJc w:val="left"/>
      <w:pPr>
        <w:ind w:left="5189" w:hanging="360"/>
      </w:pPr>
    </w:lvl>
    <w:lvl w:ilvl="7" w:tplc="04090019">
      <w:start w:val="1"/>
      <w:numFmt w:val="lowerLetter"/>
      <w:lvlText w:val="%8."/>
      <w:lvlJc w:val="left"/>
      <w:pPr>
        <w:ind w:left="5909" w:hanging="360"/>
      </w:pPr>
    </w:lvl>
    <w:lvl w:ilvl="8" w:tplc="0409001B">
      <w:start w:val="1"/>
      <w:numFmt w:val="lowerRoman"/>
      <w:lvlText w:val="%9."/>
      <w:lvlJc w:val="right"/>
      <w:pPr>
        <w:ind w:left="6629" w:hanging="180"/>
      </w:pPr>
    </w:lvl>
  </w:abstractNum>
  <w:abstractNum w:abstractNumId="1" w15:restartNumberingAfterBreak="0">
    <w:nsid w:val="4EF97BCC"/>
    <w:multiLevelType w:val="hybridMultilevel"/>
    <w:tmpl w:val="A69C23A2"/>
    <w:lvl w:ilvl="0" w:tplc="49F6D2B8">
      <w:start w:val="1"/>
      <w:numFmt w:val="decimal"/>
      <w:lvlText w:val="%1."/>
      <w:lvlJc w:val="left"/>
      <w:pPr>
        <w:ind w:left="720" w:hanging="72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48326CC"/>
    <w:multiLevelType w:val="hybridMultilevel"/>
    <w:tmpl w:val="ACFCC530"/>
    <w:lvl w:ilvl="0" w:tplc="F3267F1A">
      <w:start w:val="1"/>
      <w:numFmt w:val="hebrew1"/>
      <w:lvlText w:val="%1."/>
      <w:lvlJc w:val="left"/>
      <w:pPr>
        <w:ind w:left="869" w:hanging="360"/>
      </w:pPr>
    </w:lvl>
    <w:lvl w:ilvl="1" w:tplc="04090019">
      <w:start w:val="1"/>
      <w:numFmt w:val="lowerLetter"/>
      <w:lvlText w:val="%2."/>
      <w:lvlJc w:val="left"/>
      <w:pPr>
        <w:ind w:left="1589" w:hanging="360"/>
      </w:pPr>
    </w:lvl>
    <w:lvl w:ilvl="2" w:tplc="0409001B">
      <w:start w:val="1"/>
      <w:numFmt w:val="lowerRoman"/>
      <w:lvlText w:val="%3."/>
      <w:lvlJc w:val="right"/>
      <w:pPr>
        <w:ind w:left="2309" w:hanging="180"/>
      </w:pPr>
    </w:lvl>
    <w:lvl w:ilvl="3" w:tplc="0409000F">
      <w:start w:val="1"/>
      <w:numFmt w:val="decimal"/>
      <w:lvlText w:val="%4."/>
      <w:lvlJc w:val="left"/>
      <w:pPr>
        <w:ind w:left="3029" w:hanging="360"/>
      </w:pPr>
    </w:lvl>
    <w:lvl w:ilvl="4" w:tplc="04090019">
      <w:start w:val="1"/>
      <w:numFmt w:val="lowerLetter"/>
      <w:lvlText w:val="%5."/>
      <w:lvlJc w:val="left"/>
      <w:pPr>
        <w:ind w:left="3749" w:hanging="360"/>
      </w:pPr>
    </w:lvl>
    <w:lvl w:ilvl="5" w:tplc="0409001B">
      <w:start w:val="1"/>
      <w:numFmt w:val="lowerRoman"/>
      <w:lvlText w:val="%6."/>
      <w:lvlJc w:val="right"/>
      <w:pPr>
        <w:ind w:left="4469" w:hanging="180"/>
      </w:pPr>
    </w:lvl>
    <w:lvl w:ilvl="6" w:tplc="0409000F">
      <w:start w:val="1"/>
      <w:numFmt w:val="decimal"/>
      <w:lvlText w:val="%7."/>
      <w:lvlJc w:val="left"/>
      <w:pPr>
        <w:ind w:left="5189" w:hanging="360"/>
      </w:pPr>
    </w:lvl>
    <w:lvl w:ilvl="7" w:tplc="04090019">
      <w:start w:val="1"/>
      <w:numFmt w:val="lowerLetter"/>
      <w:lvlText w:val="%8."/>
      <w:lvlJc w:val="left"/>
      <w:pPr>
        <w:ind w:left="5909" w:hanging="360"/>
      </w:pPr>
    </w:lvl>
    <w:lvl w:ilvl="8" w:tplc="0409001B">
      <w:start w:val="1"/>
      <w:numFmt w:val="lowerRoman"/>
      <w:lvlText w:val="%9."/>
      <w:lvlJc w:val="right"/>
      <w:pPr>
        <w:ind w:left="6629"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09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13A97"/>
    <w:rsid w:val="0002463A"/>
    <w:rsid w:val="000426EC"/>
    <w:rsid w:val="000529D2"/>
    <w:rsid w:val="000564AB"/>
    <w:rsid w:val="00064FBD"/>
    <w:rsid w:val="00082AB2"/>
    <w:rsid w:val="000906FE"/>
    <w:rsid w:val="00096AF7"/>
    <w:rsid w:val="000A1730"/>
    <w:rsid w:val="000B344B"/>
    <w:rsid w:val="000C3B0F"/>
    <w:rsid w:val="000C3B60"/>
    <w:rsid w:val="000E0DD2"/>
    <w:rsid w:val="000E38EA"/>
    <w:rsid w:val="000E3AF1"/>
    <w:rsid w:val="000F0BC8"/>
    <w:rsid w:val="000F0DD6"/>
    <w:rsid w:val="00107E6D"/>
    <w:rsid w:val="0011194C"/>
    <w:rsid w:val="0011424C"/>
    <w:rsid w:val="001173C6"/>
    <w:rsid w:val="001367BC"/>
    <w:rsid w:val="00144D2A"/>
    <w:rsid w:val="0014653E"/>
    <w:rsid w:val="00154203"/>
    <w:rsid w:val="001659F4"/>
    <w:rsid w:val="00180519"/>
    <w:rsid w:val="00191C82"/>
    <w:rsid w:val="00197E6E"/>
    <w:rsid w:val="001C4003"/>
    <w:rsid w:val="001D4DBF"/>
    <w:rsid w:val="001E75CA"/>
    <w:rsid w:val="00214F7B"/>
    <w:rsid w:val="002265FF"/>
    <w:rsid w:val="00235B97"/>
    <w:rsid w:val="00271B56"/>
    <w:rsid w:val="00283364"/>
    <w:rsid w:val="002C344E"/>
    <w:rsid w:val="002E75E9"/>
    <w:rsid w:val="002E7AA6"/>
    <w:rsid w:val="002F0B1E"/>
    <w:rsid w:val="00307A6A"/>
    <w:rsid w:val="00307C40"/>
    <w:rsid w:val="00320433"/>
    <w:rsid w:val="003230C7"/>
    <w:rsid w:val="00326D06"/>
    <w:rsid w:val="00327E50"/>
    <w:rsid w:val="0033597A"/>
    <w:rsid w:val="00343D89"/>
    <w:rsid w:val="003456D4"/>
    <w:rsid w:val="00362612"/>
    <w:rsid w:val="0036743F"/>
    <w:rsid w:val="003715DD"/>
    <w:rsid w:val="003823E0"/>
    <w:rsid w:val="003A4521"/>
    <w:rsid w:val="003B3E8D"/>
    <w:rsid w:val="003D1C8C"/>
    <w:rsid w:val="0040096C"/>
    <w:rsid w:val="004100BA"/>
    <w:rsid w:val="00414F1F"/>
    <w:rsid w:val="00425A78"/>
    <w:rsid w:val="0043125D"/>
    <w:rsid w:val="00432CE1"/>
    <w:rsid w:val="0043502B"/>
    <w:rsid w:val="004443AC"/>
    <w:rsid w:val="00444B02"/>
    <w:rsid w:val="00451E28"/>
    <w:rsid w:val="00462C62"/>
    <w:rsid w:val="00465D36"/>
    <w:rsid w:val="0047782E"/>
    <w:rsid w:val="004A0F19"/>
    <w:rsid w:val="004C17EE"/>
    <w:rsid w:val="004C4BDF"/>
    <w:rsid w:val="004D1187"/>
    <w:rsid w:val="004D3AA0"/>
    <w:rsid w:val="004E1987"/>
    <w:rsid w:val="004E2E15"/>
    <w:rsid w:val="004E6E3C"/>
    <w:rsid w:val="005068E6"/>
    <w:rsid w:val="00511B90"/>
    <w:rsid w:val="00520898"/>
    <w:rsid w:val="00523621"/>
    <w:rsid w:val="00524986"/>
    <w:rsid w:val="005268F6"/>
    <w:rsid w:val="00534284"/>
    <w:rsid w:val="00547DB7"/>
    <w:rsid w:val="00562C5D"/>
    <w:rsid w:val="00586C23"/>
    <w:rsid w:val="005C0627"/>
    <w:rsid w:val="005F4F09"/>
    <w:rsid w:val="0061431B"/>
    <w:rsid w:val="00622BAA"/>
    <w:rsid w:val="006306CF"/>
    <w:rsid w:val="00644E9A"/>
    <w:rsid w:val="00661616"/>
    <w:rsid w:val="00671BD5"/>
    <w:rsid w:val="006805C1"/>
    <w:rsid w:val="00686C21"/>
    <w:rsid w:val="006931C1"/>
    <w:rsid w:val="00694556"/>
    <w:rsid w:val="006A76F0"/>
    <w:rsid w:val="006B7258"/>
    <w:rsid w:val="006C30C5"/>
    <w:rsid w:val="006D3B31"/>
    <w:rsid w:val="006E0D96"/>
    <w:rsid w:val="006E1A53"/>
    <w:rsid w:val="006F56E6"/>
    <w:rsid w:val="00704EDA"/>
    <w:rsid w:val="00721122"/>
    <w:rsid w:val="00734689"/>
    <w:rsid w:val="00734F7E"/>
    <w:rsid w:val="00753019"/>
    <w:rsid w:val="00754801"/>
    <w:rsid w:val="00761441"/>
    <w:rsid w:val="00795365"/>
    <w:rsid w:val="007A351D"/>
    <w:rsid w:val="007B7765"/>
    <w:rsid w:val="007C5BDD"/>
    <w:rsid w:val="007D45E3"/>
    <w:rsid w:val="007E6115"/>
    <w:rsid w:val="007F4609"/>
    <w:rsid w:val="00805068"/>
    <w:rsid w:val="00810F33"/>
    <w:rsid w:val="00814468"/>
    <w:rsid w:val="008176A1"/>
    <w:rsid w:val="00820005"/>
    <w:rsid w:val="00841158"/>
    <w:rsid w:val="00844318"/>
    <w:rsid w:val="00850DDB"/>
    <w:rsid w:val="00851257"/>
    <w:rsid w:val="00863F5D"/>
    <w:rsid w:val="00870890"/>
    <w:rsid w:val="00873602"/>
    <w:rsid w:val="00875D12"/>
    <w:rsid w:val="00880C14"/>
    <w:rsid w:val="0088479D"/>
    <w:rsid w:val="00891F42"/>
    <w:rsid w:val="00896889"/>
    <w:rsid w:val="008A59EE"/>
    <w:rsid w:val="008A6E97"/>
    <w:rsid w:val="008C5714"/>
    <w:rsid w:val="008D10B2"/>
    <w:rsid w:val="00903896"/>
    <w:rsid w:val="00906F3D"/>
    <w:rsid w:val="00924C88"/>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6F93"/>
    <w:rsid w:val="00A9144F"/>
    <w:rsid w:val="00A94B64"/>
    <w:rsid w:val="00AA3229"/>
    <w:rsid w:val="00AA7596"/>
    <w:rsid w:val="00AB5E52"/>
    <w:rsid w:val="00AC3B02"/>
    <w:rsid w:val="00AC3B7B"/>
    <w:rsid w:val="00AC5209"/>
    <w:rsid w:val="00AE0E34"/>
    <w:rsid w:val="00AE729E"/>
    <w:rsid w:val="00AE7752"/>
    <w:rsid w:val="00AF7FDA"/>
    <w:rsid w:val="00B525A6"/>
    <w:rsid w:val="00B5356E"/>
    <w:rsid w:val="00B62AD7"/>
    <w:rsid w:val="00B66717"/>
    <w:rsid w:val="00B809AD"/>
    <w:rsid w:val="00B80CBD"/>
    <w:rsid w:val="00B86096"/>
    <w:rsid w:val="00B95D6E"/>
    <w:rsid w:val="00B964D9"/>
    <w:rsid w:val="00BA0A7C"/>
    <w:rsid w:val="00BA517C"/>
    <w:rsid w:val="00BB3D05"/>
    <w:rsid w:val="00BB6883"/>
    <w:rsid w:val="00BB73BE"/>
    <w:rsid w:val="00BC2D89"/>
    <w:rsid w:val="00BD6531"/>
    <w:rsid w:val="00BE05B2"/>
    <w:rsid w:val="00BF1908"/>
    <w:rsid w:val="00C12907"/>
    <w:rsid w:val="00C22D93"/>
    <w:rsid w:val="00C23458"/>
    <w:rsid w:val="00C30B36"/>
    <w:rsid w:val="00C31120"/>
    <w:rsid w:val="00C34482"/>
    <w:rsid w:val="00C43648"/>
    <w:rsid w:val="00C50A9F"/>
    <w:rsid w:val="00C642FA"/>
    <w:rsid w:val="00C8554C"/>
    <w:rsid w:val="00CC7622"/>
    <w:rsid w:val="00CD516B"/>
    <w:rsid w:val="00CD608F"/>
    <w:rsid w:val="00CE0084"/>
    <w:rsid w:val="00CF6BB7"/>
    <w:rsid w:val="00CF7499"/>
    <w:rsid w:val="00D032C6"/>
    <w:rsid w:val="00D04AA4"/>
    <w:rsid w:val="00D27982"/>
    <w:rsid w:val="00D33B86"/>
    <w:rsid w:val="00D44968"/>
    <w:rsid w:val="00D53924"/>
    <w:rsid w:val="00D55D0C"/>
    <w:rsid w:val="00D8137E"/>
    <w:rsid w:val="00D95C40"/>
    <w:rsid w:val="00D96D8C"/>
    <w:rsid w:val="00DA6649"/>
    <w:rsid w:val="00DC1259"/>
    <w:rsid w:val="00DC1BD2"/>
    <w:rsid w:val="00DC2571"/>
    <w:rsid w:val="00DC487C"/>
    <w:rsid w:val="00DD4335"/>
    <w:rsid w:val="00DD5279"/>
    <w:rsid w:val="00DE1E7D"/>
    <w:rsid w:val="00DE6BF6"/>
    <w:rsid w:val="00E1068A"/>
    <w:rsid w:val="00E25884"/>
    <w:rsid w:val="00E25B55"/>
    <w:rsid w:val="00E31C2B"/>
    <w:rsid w:val="00E47BAB"/>
    <w:rsid w:val="00E5426A"/>
    <w:rsid w:val="00E54642"/>
    <w:rsid w:val="00E765F9"/>
    <w:rsid w:val="00E80CBE"/>
    <w:rsid w:val="00E9269D"/>
    <w:rsid w:val="00E962E3"/>
    <w:rsid w:val="00EB6C79"/>
    <w:rsid w:val="00EC37E9"/>
    <w:rsid w:val="00F00C0F"/>
    <w:rsid w:val="00F038D8"/>
    <w:rsid w:val="00F06995"/>
    <w:rsid w:val="00F12D66"/>
    <w:rsid w:val="00F13623"/>
    <w:rsid w:val="00F44D1D"/>
    <w:rsid w:val="00F46429"/>
    <w:rsid w:val="00F560CD"/>
    <w:rsid w:val="00F5646D"/>
    <w:rsid w:val="00F84B6D"/>
    <w:rsid w:val="00F9572C"/>
    <w:rsid w:val="00F957E8"/>
    <w:rsid w:val="00FA311A"/>
    <w:rsid w:val="00FA5FDA"/>
    <w:rsid w:val="00FA7FD0"/>
    <w:rsid w:val="00FB6AB3"/>
    <w:rsid w:val="00FD0CA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992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semiHidden/>
    <w:rsid w:val="00C64423"/>
    <w:rPr>
      <w:rFonts w:ascii="Tahoma" w:hAnsi="Tahoma" w:cs="Tahoma"/>
      <w:sz w:val="16"/>
      <w:szCs w:val="16"/>
    </w:rPr>
  </w:style>
  <w:style w:type="table" w:styleId="ad">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table" w:customStyle="1" w:styleId="1">
    <w:name w:val="טבלת רשת1"/>
    <w:basedOn w:val="a1"/>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3230C7"/>
    <w:rPr>
      <w:color w:val="808080"/>
    </w:rPr>
  </w:style>
  <w:style w:type="character" w:customStyle="1" w:styleId="40">
    <w:name w:val="כותרת 4 תו"/>
    <w:basedOn w:val="a0"/>
    <w:link w:val="4"/>
    <w:rsid w:val="00214F7B"/>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uiPriority w:val="99"/>
    <w:semiHidden/>
    <w:unhideWhenUsed/>
    <w:rsid w:val="00214F7B"/>
    <w:rPr>
      <w:rFonts w:ascii="Times New Roman" w:hAnsi="Times New Roman" w:cs="Times New Roman" w:hint="default"/>
      <w:color w:val="0000FF" w:themeColor="hyperlink"/>
      <w:u w:val="single"/>
      <w:lang w:bidi="he-IL"/>
    </w:rPr>
  </w:style>
  <w:style w:type="character" w:styleId="FollowedHyperlink">
    <w:name w:val="FollowedHyperlink"/>
    <w:basedOn w:val="a0"/>
    <w:uiPriority w:val="99"/>
    <w:semiHidden/>
    <w:unhideWhenUsed/>
    <w:rsid w:val="00214F7B"/>
    <w:rPr>
      <w:rFonts w:ascii="Times New Roman" w:hAnsi="Times New Roman" w:cs="Times New Roman" w:hint="default"/>
      <w:color w:val="800080" w:themeColor="followedHyperlink"/>
      <w:u w:val="single"/>
      <w:lang w:bidi="he-IL"/>
    </w:rPr>
  </w:style>
  <w:style w:type="paragraph" w:customStyle="1" w:styleId="msonormal0">
    <w:name w:val="msonormal"/>
    <w:basedOn w:val="a"/>
    <w:rsid w:val="00214F7B"/>
    <w:pPr>
      <w:bidi w:val="0"/>
      <w:spacing w:before="100" w:beforeAutospacing="1" w:after="100" w:afterAutospacing="1"/>
    </w:pPr>
    <w:rPr>
      <w:rFonts w:cs="Times New Roman"/>
      <w:noProof w:val="0"/>
    </w:rPr>
  </w:style>
  <w:style w:type="character" w:customStyle="1" w:styleId="a9">
    <w:name w:val="טקסט הערה תו"/>
    <w:basedOn w:val="a0"/>
    <w:link w:val="a8"/>
    <w:semiHidden/>
    <w:rsid w:val="00214F7B"/>
    <w:rPr>
      <w:sz w:val="24"/>
      <w:szCs w:val="24"/>
    </w:rPr>
  </w:style>
  <w:style w:type="character" w:customStyle="1" w:styleId="a4">
    <w:name w:val="כותרת עליונה תו"/>
    <w:basedOn w:val="a0"/>
    <w:link w:val="a3"/>
    <w:uiPriority w:val="99"/>
    <w:rsid w:val="00214F7B"/>
    <w:rPr>
      <w:rFonts w:cs="David"/>
      <w:noProof/>
      <w:sz w:val="24"/>
      <w:szCs w:val="24"/>
    </w:rPr>
  </w:style>
  <w:style w:type="character" w:customStyle="1" w:styleId="a6">
    <w:name w:val="כותרת תחתונה תו"/>
    <w:basedOn w:val="a0"/>
    <w:link w:val="a5"/>
    <w:uiPriority w:val="99"/>
    <w:rsid w:val="00214F7B"/>
    <w:rPr>
      <w:rFonts w:cs="David"/>
      <w:noProof/>
      <w:sz w:val="24"/>
      <w:szCs w:val="24"/>
    </w:rPr>
  </w:style>
  <w:style w:type="character" w:customStyle="1" w:styleId="ac">
    <w:name w:val="טקסט בלונים תו"/>
    <w:basedOn w:val="a0"/>
    <w:link w:val="ab"/>
    <w:semiHidden/>
    <w:rsid w:val="00214F7B"/>
    <w:rPr>
      <w:rFonts w:ascii="Tahoma" w:hAnsi="Tahoma" w:cs="Tahoma"/>
      <w:noProof/>
      <w:sz w:val="16"/>
      <w:szCs w:val="16"/>
    </w:rPr>
  </w:style>
  <w:style w:type="paragraph" w:styleId="af1">
    <w:name w:val="List Paragraph"/>
    <w:basedOn w:val="a"/>
    <w:uiPriority w:val="34"/>
    <w:qFormat/>
    <w:rsid w:val="00214F7B"/>
    <w:pPr>
      <w:bidi w:val="0"/>
      <w:spacing w:after="160" w:line="252" w:lineRule="auto"/>
      <w:ind w:left="720"/>
      <w:contextualSpacing/>
    </w:pPr>
    <w:rPr>
      <w:rFonts w:asciiTheme="minorHAnsi" w:hAnsiTheme="minorHAnsi" w:cs="Arial"/>
      <w:noProof w:val="0"/>
      <w:sz w:val="22"/>
      <w:szCs w:val="22"/>
      <w:lang w:bidi="ar-SA"/>
    </w:rPr>
  </w:style>
  <w:style w:type="paragraph" w:customStyle="1" w:styleId="p00">
    <w:name w:val="p00"/>
    <w:basedOn w:val="a"/>
    <w:rsid w:val="00214F7B"/>
    <w:pPr>
      <w:bidi w:val="0"/>
      <w:spacing w:before="100" w:beforeAutospacing="1" w:after="100" w:afterAutospacing="1"/>
    </w:pPr>
    <w:rPr>
      <w:rFonts w:cs="Times New Roman"/>
      <w:noProof w:val="0"/>
    </w:rPr>
  </w:style>
  <w:style w:type="paragraph" w:customStyle="1" w:styleId="p22">
    <w:name w:val="p22"/>
    <w:basedOn w:val="a"/>
    <w:rsid w:val="00214F7B"/>
    <w:pPr>
      <w:bidi w:val="0"/>
      <w:spacing w:before="100" w:beforeAutospacing="1" w:after="100" w:afterAutospacing="1"/>
    </w:pPr>
    <w:rPr>
      <w:rFonts w:cs="Times New Roman"/>
      <w:noProof w:val="0"/>
    </w:rPr>
  </w:style>
  <w:style w:type="character" w:customStyle="1" w:styleId="UnresolvedMention">
    <w:name w:val="Unresolved Mention"/>
    <w:basedOn w:val="a0"/>
    <w:uiPriority w:val="99"/>
    <w:semiHidden/>
    <w:rsid w:val="00214F7B"/>
    <w:rPr>
      <w:rFonts w:ascii="Times New Roman" w:hAnsi="Times New Roman" w:cs="Times New Roman" w:hint="default"/>
      <w:color w:val="605E5C"/>
      <w:shd w:val="clear" w:color="auto" w:fill="E1DFDD"/>
      <w:lang w:bidi="he-IL"/>
    </w:rPr>
  </w:style>
  <w:style w:type="character" w:customStyle="1" w:styleId="big-number">
    <w:name w:val="big-number"/>
    <w:basedOn w:val="a0"/>
    <w:rsid w:val="00214F7B"/>
  </w:style>
  <w:style w:type="character" w:customStyle="1" w:styleId="default">
    <w:name w:val="default"/>
    <w:basedOn w:val="a0"/>
    <w:rsid w:val="00214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5041">
      <w:bodyDiv w:val="1"/>
      <w:marLeft w:val="0"/>
      <w:marRight w:val="0"/>
      <w:marTop w:val="0"/>
      <w:marBottom w:val="0"/>
      <w:divBdr>
        <w:top w:val="none" w:sz="0" w:space="0" w:color="auto"/>
        <w:left w:val="none" w:sz="0" w:space="0" w:color="auto"/>
        <w:bottom w:val="none" w:sz="0" w:space="0" w:color="auto"/>
        <w:right w:val="none" w:sz="0" w:space="0" w:color="auto"/>
      </w:divBdr>
    </w:div>
    <w:div w:id="195700774">
      <w:bodyDiv w:val="1"/>
      <w:marLeft w:val="0"/>
      <w:marRight w:val="0"/>
      <w:marTop w:val="0"/>
      <w:marBottom w:val="0"/>
      <w:divBdr>
        <w:top w:val="none" w:sz="0" w:space="0" w:color="auto"/>
        <w:left w:val="none" w:sz="0" w:space="0" w:color="auto"/>
        <w:bottom w:val="none" w:sz="0" w:space="0" w:color="auto"/>
        <w:right w:val="none" w:sz="0" w:space="0" w:color="auto"/>
      </w:divBdr>
    </w:div>
    <w:div w:id="121453706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10637</Words>
  <Characters>53187</Characters>
  <Application>Microsoft Office Word</Application>
  <DocSecurity>4</DocSecurity>
  <Lines>443</Lines>
  <Paragraphs>127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2022-08-01T09:40:00Z</cp:lastPrinted>
  <dcterms:created xsi:type="dcterms:W3CDTF">2022-08-04T15:38:00Z</dcterms:created>
  <dcterms:modified xsi:type="dcterms:W3CDTF">2022-08-04T15:38:00Z</dcterms:modified>
</cp:coreProperties>
</file>